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before="0" w:beforeAutospacing="0" w:line="240" w:lineRule="auto"/>
        <w:rPr>
          <w:rFonts w:ascii="Times New Roman" w:hAnsi="Times New Roman" w:eastAsiaTheme="minorEastAsia"/>
          <w:b/>
          <w:szCs w:val="24"/>
        </w:rPr>
      </w:pPr>
      <w:r>
        <w:rPr>
          <w:rFonts w:ascii="Times New Roman" w:hAnsi="Times New Roman" w:eastAsiaTheme="minorEastAsia"/>
          <w:b/>
          <w:szCs w:val="24"/>
        </w:rPr>
        <w:t>ICS编号</w:t>
      </w:r>
    </w:p>
    <w:p>
      <w:pPr>
        <w:adjustRightInd/>
        <w:spacing w:before="0" w:beforeAutospacing="0" w:line="240" w:lineRule="auto"/>
        <w:rPr>
          <w:rFonts w:ascii="Times New Roman" w:hAnsi="Times New Roman" w:eastAsiaTheme="minorEastAsia"/>
          <w:b/>
          <w:szCs w:val="24"/>
        </w:rPr>
      </w:pPr>
      <w:r>
        <w:rPr>
          <w:rFonts w:ascii="Times New Roman" w:hAnsi="Times New Roman" w:eastAsiaTheme="minorEastAsia"/>
          <w:b/>
          <w:szCs w:val="24"/>
        </w:rPr>
        <w:t>CCS编号</w:t>
      </w:r>
    </w:p>
    <w:p>
      <w:pPr>
        <w:adjustRightInd/>
        <w:spacing w:before="0" w:beforeAutospacing="0" w:line="240" w:lineRule="auto"/>
        <w:jc w:val="center"/>
        <w:rPr>
          <w:rFonts w:ascii="Times New Roman" w:hAnsi="Times New Roman" w:eastAsia="黑体"/>
          <w:sz w:val="72"/>
          <w:szCs w:val="72"/>
        </w:rPr>
      </w:pPr>
    </w:p>
    <w:p>
      <w:pPr>
        <w:adjustRightInd/>
        <w:spacing w:before="0" w:beforeAutospacing="0" w:line="240" w:lineRule="auto"/>
        <w:jc w:val="center"/>
        <w:rPr>
          <w:rFonts w:ascii="Times New Roman" w:hAnsi="Times New Roman" w:eastAsia="黑体"/>
          <w:sz w:val="72"/>
          <w:szCs w:val="72"/>
        </w:rPr>
      </w:pPr>
      <w:r>
        <w:rPr>
          <w:rFonts w:hint="eastAsia" w:ascii="Times New Roman" w:hAnsi="Times New Roman" w:eastAsia="黑体"/>
          <w:sz w:val="72"/>
          <w:szCs w:val="72"/>
        </w:rPr>
        <w:t>团</w:t>
      </w:r>
      <w:r>
        <w:rPr>
          <w:rFonts w:ascii="Times New Roman" w:hAnsi="Times New Roman" w:eastAsia="黑体"/>
          <w:sz w:val="72"/>
          <w:szCs w:val="72"/>
        </w:rPr>
        <w:t> </w:t>
      </w:r>
      <w:r>
        <w:rPr>
          <w:rFonts w:hint="eastAsia" w:ascii="Times New Roman" w:hAnsi="Times New Roman" w:eastAsia="黑体"/>
          <w:sz w:val="72"/>
          <w:szCs w:val="72"/>
        </w:rPr>
        <w:t>体</w:t>
      </w:r>
      <w:r>
        <w:rPr>
          <w:rFonts w:ascii="Times New Roman" w:hAnsi="Times New Roman" w:eastAsia="黑体"/>
          <w:sz w:val="72"/>
          <w:szCs w:val="72"/>
        </w:rPr>
        <w:t> </w:t>
      </w:r>
      <w:r>
        <w:rPr>
          <w:rFonts w:hint="eastAsia" w:ascii="Times New Roman" w:hAnsi="Times New Roman" w:eastAsia="黑体"/>
          <w:sz w:val="72"/>
          <w:szCs w:val="72"/>
        </w:rPr>
        <w:t>标</w:t>
      </w:r>
      <w:r>
        <w:rPr>
          <w:rFonts w:ascii="Times New Roman" w:hAnsi="Times New Roman" w:eastAsia="黑体"/>
          <w:sz w:val="72"/>
          <w:szCs w:val="72"/>
        </w:rPr>
        <w:t> </w:t>
      </w:r>
      <w:r>
        <w:rPr>
          <w:rFonts w:hint="eastAsia" w:ascii="Times New Roman" w:hAnsi="Times New Roman" w:eastAsia="黑体"/>
          <w:sz w:val="72"/>
          <w:szCs w:val="72"/>
        </w:rPr>
        <w:t>准</w:t>
      </w:r>
    </w:p>
    <w:p>
      <w:pPr>
        <w:adjustRightInd/>
        <w:spacing w:before="0" w:beforeAutospacing="0" w:line="240" w:lineRule="auto"/>
        <w:jc w:val="right"/>
        <w:rPr>
          <w:rFonts w:ascii="Times New Roman" w:hAnsi="Times New Roman" w:eastAsia="黑体"/>
          <w:b/>
          <w:sz w:val="28"/>
          <w:szCs w:val="28"/>
        </w:rPr>
      </w:pPr>
      <w:r>
        <w:rPr>
          <w:rFonts w:hint="eastAsia" w:ascii="Times New Roman" w:hAnsi="Times New Roman"/>
          <w:b/>
          <w:sz w:val="28"/>
          <w:szCs w:val="28"/>
        </w:rPr>
        <w:t xml:space="preserve">                                    </w:t>
      </w:r>
      <w:r>
        <w:rPr>
          <w:rFonts w:ascii="Times New Roman" w:hAnsi="Times New Roman" w:eastAsia="黑体"/>
          <w:b/>
          <w:sz w:val="28"/>
          <w:szCs w:val="28"/>
        </w:rPr>
        <w:t>T/CHES XXX—20XX</w:t>
      </w:r>
    </w:p>
    <w:p>
      <w:pPr>
        <w:autoSpaceDE w:val="0"/>
        <w:autoSpaceDN w:val="0"/>
        <w:spacing w:line="360" w:lineRule="exact"/>
        <w:jc w:val="center"/>
        <w:rPr>
          <w:rFonts w:ascii="Times New Roman" w:hAnsi="Times New Roman"/>
          <w:kern w:val="0"/>
          <w:sz w:val="24"/>
          <w:szCs w:val="24"/>
        </w:rPr>
      </w:pPr>
      <w: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100330</wp:posOffset>
                </wp:positionV>
                <wp:extent cx="5301615" cy="0"/>
                <wp:effectExtent l="0" t="0" r="33020" b="19050"/>
                <wp:wrapNone/>
                <wp:docPr id="2" name="直接连接符 2"/>
                <wp:cNvGraphicFramePr/>
                <a:graphic xmlns:a="http://schemas.openxmlformats.org/drawingml/2006/main">
                  <a:graphicData uri="http://schemas.microsoft.com/office/word/2010/wordprocessingShape">
                    <wps:wsp>
                      <wps:cNvCnPr/>
                      <wps:spPr>
                        <a:xfrm>
                          <a:off x="0" y="0"/>
                          <a:ext cx="530157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7.9pt;height:0pt;width:417.45pt;z-index:251660288;mso-width-relative:page;mso-height-relative:page;" filled="f" stroked="t" coordsize="21600,21600" o:gfxdata="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LhC&#10;jNQAAAAHAQAADwAAAAAAAAABACAAAAAiAAAAZHJzL2Rvd25yZXYueG1sUEsBAhQAFAAAAAgAh07i&#10;QLcEvOLtAQAA2QMAAA4AAAAAAAAAAQAgAAAAIwEAAGRycy9lMm9Eb2MueG1sUEsFBgAAAAAGAAYA&#10;WQEAAIIFAAAAAA==&#10;">
                <v:fill on="f" focussize="0,0"/>
                <v:stroke weight="1.5pt" color="#000000" joinstyle="round"/>
                <v:imagedata o:title=""/>
                <o:lock v:ext="edit" aspectratio="f"/>
              </v:line>
            </w:pict>
          </mc:Fallback>
        </mc:AlternateContent>
      </w:r>
    </w:p>
    <w:p>
      <w:pPr>
        <w:adjustRightInd/>
        <w:spacing w:before="0" w:beforeAutospacing="0" w:line="240" w:lineRule="auto"/>
        <w:jc w:val="center"/>
        <w:rPr>
          <w:rFonts w:ascii="Times New Roman" w:hAnsi="Times New Roman" w:eastAsia="黑体"/>
          <w:sz w:val="48"/>
          <w:szCs w:val="48"/>
        </w:rPr>
      </w:pPr>
      <w:r>
        <w:rPr>
          <w:rFonts w:hint="eastAsia" w:ascii="Times New Roman" w:hAnsi="Times New Roman" w:eastAsia="黑体"/>
          <w:sz w:val="48"/>
          <w:szCs w:val="48"/>
        </w:rPr>
        <w:t>水质 涕灭威、克百威和甲萘威的测定 液相色谱法</w:t>
      </w:r>
    </w:p>
    <w:p>
      <w:pPr>
        <w:adjustRightInd/>
        <w:spacing w:before="0" w:beforeAutospacing="0" w:line="240" w:lineRule="auto"/>
        <w:rPr>
          <w:rFonts w:ascii="Times New Roman" w:hAnsi="Times New Roman"/>
          <w:szCs w:val="24"/>
        </w:rPr>
      </w:pPr>
    </w:p>
    <w:p>
      <w:pPr>
        <w:adjustRightInd/>
        <w:spacing w:before="0" w:beforeAutospacing="0" w:line="240" w:lineRule="auto"/>
        <w:jc w:val="center"/>
        <w:rPr>
          <w:rFonts w:ascii="Times New Roman" w:hAnsi="Times New Roman" w:eastAsia="黑体"/>
          <w:b/>
          <w:sz w:val="28"/>
          <w:szCs w:val="28"/>
        </w:rPr>
      </w:pPr>
      <w:r>
        <w:rPr>
          <w:rFonts w:ascii="Times New Roman" w:hAnsi="Times New Roman" w:eastAsia="黑体"/>
          <w:b/>
          <w:sz w:val="28"/>
          <w:szCs w:val="28"/>
        </w:rPr>
        <w:t>Water quality-Determination of aldicarb,carbofuran and carbaryl by Liquid chromatography</w:t>
      </w:r>
    </w:p>
    <w:p>
      <w:pPr>
        <w:adjustRightInd/>
        <w:spacing w:before="0" w:beforeAutospacing="0" w:line="240" w:lineRule="auto"/>
        <w:rPr>
          <w:rFonts w:ascii="Times New Roman" w:hAnsi="Times New Roman"/>
          <w:szCs w:val="24"/>
        </w:rPr>
      </w:pPr>
    </w:p>
    <w:p>
      <w:pPr>
        <w:adjustRightInd/>
        <w:spacing w:before="0" w:beforeAutospacing="0" w:line="240" w:lineRule="auto"/>
        <w:rPr>
          <w:rFonts w:ascii="Times New Roman" w:hAnsi="Times New Roman"/>
          <w:szCs w:val="24"/>
        </w:rPr>
      </w:pPr>
    </w:p>
    <w:p>
      <w:pPr>
        <w:adjustRightInd/>
        <w:spacing w:before="0" w:beforeAutospacing="0" w:line="240" w:lineRule="auto"/>
        <w:jc w:val="center"/>
        <w:rPr>
          <w:rFonts w:ascii="Times New Roman" w:hAnsi="Times New Roman"/>
          <w:sz w:val="28"/>
          <w:szCs w:val="28"/>
        </w:rPr>
      </w:pPr>
      <w:r>
        <w:rPr>
          <w:rFonts w:hint="eastAsia" w:ascii="Times New Roman" w:hAnsi="Times New Roman"/>
          <w:sz w:val="28"/>
          <w:szCs w:val="28"/>
        </w:rPr>
        <w:t>（报批稿）</w:t>
      </w:r>
    </w:p>
    <w:p>
      <w:pPr>
        <w:autoSpaceDE w:val="0"/>
        <w:autoSpaceDN w:val="0"/>
        <w:spacing w:line="360" w:lineRule="exact"/>
        <w:jc w:val="left"/>
        <w:rPr>
          <w:rFonts w:ascii="Times New Roman" w:hAnsi="Times New Roman"/>
          <w:kern w:val="0"/>
        </w:rPr>
      </w:pPr>
    </w:p>
    <w:p>
      <w:pPr>
        <w:adjustRightInd/>
        <w:spacing w:before="0" w:beforeAutospacing="0" w:line="240" w:lineRule="auto"/>
        <w:rPr>
          <w:rFonts w:ascii="Times New Roman" w:hAnsi="Times New Roman"/>
        </w:rPr>
      </w:pPr>
    </w:p>
    <w:p>
      <w:pPr>
        <w:adjustRightInd/>
        <w:spacing w:before="0" w:beforeAutospacing="0" w:line="240" w:lineRule="auto"/>
        <w:rPr>
          <w:rFonts w:ascii="Times New Roman" w:hAnsi="Times New Roman"/>
        </w:rPr>
      </w:pPr>
    </w:p>
    <w:p>
      <w:pPr>
        <w:adjustRightInd/>
        <w:spacing w:before="0" w:beforeAutospacing="0" w:line="240" w:lineRule="auto"/>
        <w:rPr>
          <w:rFonts w:ascii="Times New Roman" w:hAnsi="Times New Roman"/>
        </w:rPr>
      </w:pPr>
    </w:p>
    <w:p>
      <w:pPr>
        <w:adjustRightInd/>
        <w:spacing w:before="0" w:beforeAutospacing="0" w:line="240" w:lineRule="auto"/>
        <w:rPr>
          <w:rFonts w:ascii="Times New Roman" w:hAnsi="Times New Roman"/>
        </w:rPr>
      </w:pPr>
    </w:p>
    <w:p>
      <w:pPr>
        <w:adjustRightInd/>
        <w:spacing w:before="0" w:beforeAutospacing="0" w:line="240" w:lineRule="auto"/>
        <w:rPr>
          <w:rFonts w:ascii="Times New Roman" w:hAnsi="Times New Roman"/>
        </w:rPr>
      </w:pPr>
    </w:p>
    <w:p>
      <w:pPr>
        <w:adjustRightInd/>
        <w:spacing w:before="0" w:beforeAutospacing="0" w:line="240" w:lineRule="auto"/>
        <w:rPr>
          <w:rFonts w:ascii="Times New Roman" w:hAnsi="Times New Roman"/>
        </w:rPr>
      </w:pPr>
    </w:p>
    <w:p>
      <w:pPr>
        <w:adjustRightInd/>
        <w:spacing w:before="0" w:beforeAutospacing="0" w:line="240" w:lineRule="auto"/>
        <w:rPr>
          <w:rFonts w:ascii="Times New Roman" w:hAnsi="Times New Roman"/>
        </w:rPr>
      </w:pPr>
    </w:p>
    <w:p>
      <w:pPr>
        <w:adjustRightInd/>
        <w:spacing w:before="0" w:beforeAutospacing="0" w:line="240" w:lineRule="auto"/>
        <w:rPr>
          <w:rFonts w:ascii="Times New Roman" w:hAnsi="Times New Roman"/>
        </w:rPr>
      </w:pPr>
    </w:p>
    <w:p>
      <w:pPr>
        <w:adjustRightInd/>
        <w:spacing w:before="0" w:beforeAutospacing="0" w:line="240" w:lineRule="auto"/>
        <w:rPr>
          <w:rFonts w:ascii="Times New Roman" w:hAnsi="Times New Roman"/>
        </w:rPr>
      </w:pPr>
    </w:p>
    <w:p>
      <w:pPr>
        <w:tabs>
          <w:tab w:val="right" w:pos="7920"/>
        </w:tabs>
        <w:adjustRightInd/>
        <w:spacing w:before="0" w:beforeAutospacing="0" w:line="240" w:lineRule="auto"/>
        <w:jc w:val="left"/>
        <w:rPr>
          <w:rFonts w:ascii="Times New Roman" w:hAnsi="Times New Roman" w:eastAsiaTheme="minorEastAsia"/>
          <w:sz w:val="28"/>
          <w:szCs w:val="28"/>
        </w:rPr>
      </w:pPr>
      <w:r>
        <w:rPr>
          <w:rFonts w:ascii="Times New Roman" w:hAnsi="Times New Roman" w:eastAsiaTheme="minorEastAsia"/>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297180</wp:posOffset>
                </wp:positionV>
                <wp:extent cx="5243195" cy="0"/>
                <wp:effectExtent l="0" t="0" r="33655" b="19050"/>
                <wp:wrapNone/>
                <wp:docPr id="34" name="直接连接符 34"/>
                <wp:cNvGraphicFramePr/>
                <a:graphic xmlns:a="http://schemas.openxmlformats.org/drawingml/2006/main">
                  <a:graphicData uri="http://schemas.microsoft.com/office/word/2010/wordprocessingShape">
                    <wps:wsp>
                      <wps:cNvCnPr/>
                      <wps:spPr>
                        <a:xfrm>
                          <a:off x="0" y="0"/>
                          <a:ext cx="5243209"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3.4pt;height:0pt;width:412.85pt;z-index:251659264;mso-width-relative:page;mso-height-relative:page;" filled="f" stroked="t" coordsize="21600,21600" o:gfxdata="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0&#10;NHr81AAAAAcBAAAPAAAAAAAAAAEAIAAAACIAAABkcnMvZG93bnJldi54bWxQSwECFAAUAAAACACH&#10;TuJAFiVGge8BAADbAwAADgAAAAAAAAABACAAAAAjAQAAZHJzL2Uyb0RvYy54bWxQSwUGAAAAAAYA&#10;BgBZAQAAhAUAAAAA&#10;">
                <v:fill on="f" focussize="0,0"/>
                <v:stroke weight="1.5pt" color="#000000" joinstyle="round"/>
                <v:imagedata o:title=""/>
                <o:lock v:ext="edit" aspectratio="f"/>
              </v:line>
            </w:pict>
          </mc:Fallback>
        </mc:AlternateContent>
      </w:r>
      <w:r>
        <w:rPr>
          <w:rFonts w:ascii="Times New Roman" w:hAnsi="Times New Roman" w:eastAsiaTheme="minorEastAsia"/>
          <w:sz w:val="28"/>
          <w:szCs w:val="28"/>
        </w:rPr>
        <w:t xml:space="preserve">20XX-XX-XX发布               </w:t>
      </w:r>
      <w:r>
        <w:rPr>
          <w:rFonts w:ascii="Times New Roman" w:hAnsi="Times New Roman" w:eastAsiaTheme="minorEastAsia"/>
          <w:sz w:val="28"/>
          <w:szCs w:val="28"/>
        </w:rPr>
        <w:tab/>
      </w:r>
      <w:r>
        <w:rPr>
          <w:rFonts w:ascii="Times New Roman" w:hAnsi="Times New Roman" w:eastAsiaTheme="minorEastAsia"/>
          <w:sz w:val="28"/>
          <w:szCs w:val="28"/>
        </w:rPr>
        <w:t xml:space="preserve">           20XX-XX-XX实施</w:t>
      </w:r>
    </w:p>
    <w:p>
      <w:pPr>
        <w:adjustRightInd/>
        <w:spacing w:before="0" w:beforeAutospacing="0" w:line="240" w:lineRule="auto"/>
        <w:jc w:val="center"/>
        <w:rPr>
          <w:rFonts w:ascii="Times New Roman" w:hAnsi="Times New Roman" w:eastAsia="黑体"/>
          <w:b/>
          <w:sz w:val="28"/>
          <w:szCs w:val="28"/>
        </w:rPr>
      </w:pPr>
      <w:r>
        <w:rPr>
          <w:rFonts w:hint="eastAsia" w:ascii="Times New Roman" w:hAnsi="Times New Roman"/>
          <w:b/>
          <w:sz w:val="32"/>
          <w:szCs w:val="32"/>
        </w:rPr>
        <w:t>中国水利学会 </w:t>
      </w:r>
      <w:r>
        <w:rPr>
          <w:rFonts w:hint="eastAsia" w:ascii="Times New Roman" w:hAnsi="Times New Roman" w:eastAsia="黑体"/>
          <w:b/>
          <w:sz w:val="28"/>
          <w:szCs w:val="28"/>
        </w:rPr>
        <w:t>发 布</w:t>
      </w:r>
    </w:p>
    <w:p>
      <w:pPr>
        <w:jc w:val="center"/>
        <w:rPr>
          <w:rFonts w:ascii="Times New Roman" w:hAnsi="Times New Roman" w:eastAsia="黑体"/>
          <w:kern w:val="0"/>
          <w:sz w:val="28"/>
          <w:szCs w:val="28"/>
        </w:rPr>
        <w:sectPr>
          <w:footerReference r:id="rId6" w:type="first"/>
          <w:headerReference r:id="rId3" w:type="default"/>
          <w:headerReference r:id="rId4" w:type="even"/>
          <w:footerReference r:id="rId5" w:type="even"/>
          <w:type w:val="continuous"/>
          <w:pgSz w:w="11906" w:h="16838"/>
          <w:pgMar w:top="1440" w:right="1797" w:bottom="1440" w:left="1797" w:header="1417" w:footer="992" w:gutter="0"/>
          <w:pgNumType w:fmt="upperRoman" w:start="1"/>
          <w:cols w:space="425" w:num="1"/>
          <w:docGrid w:type="lines" w:linePitch="312" w:charSpace="0"/>
        </w:sectPr>
      </w:pPr>
    </w:p>
    <w:p>
      <w:pPr>
        <w:spacing w:after="240"/>
        <w:jc w:val="center"/>
        <w:rPr>
          <w:rFonts w:ascii="黑体" w:hAnsi="黑体" w:eastAsia="黑体"/>
          <w:sz w:val="32"/>
          <w:szCs w:val="32"/>
        </w:rPr>
      </w:pPr>
      <w:bookmarkStart w:id="0" w:name="_Toc23404629"/>
      <w:bookmarkStart w:id="1" w:name="_Toc19266"/>
      <w:r>
        <w:rPr>
          <w:rFonts w:hint="eastAsia" w:ascii="黑体" w:hAnsi="黑体" w:eastAsia="黑体"/>
          <w:sz w:val="32"/>
          <w:szCs w:val="32"/>
        </w:rPr>
        <w:t xml:space="preserve">目 </w:t>
      </w:r>
      <w:r>
        <w:rPr>
          <w:rFonts w:ascii="黑体" w:hAnsi="黑体" w:eastAsia="黑体"/>
          <w:sz w:val="32"/>
          <w:szCs w:val="32"/>
        </w:rPr>
        <w:t xml:space="preserve">   </w:t>
      </w:r>
      <w:r>
        <w:rPr>
          <w:rFonts w:hint="eastAsia" w:ascii="黑体" w:hAnsi="黑体" w:eastAsia="黑体"/>
          <w:sz w:val="32"/>
          <w:szCs w:val="32"/>
        </w:rPr>
        <w:t>次</w:t>
      </w:r>
      <w:bookmarkEnd w:id="0"/>
      <w:bookmarkEnd w:id="1"/>
    </w:p>
    <w:p>
      <w:pPr>
        <w:pStyle w:val="10"/>
        <w:tabs>
          <w:tab w:val="right" w:leader="dot" w:pos="8302"/>
        </w:tabs>
        <w:spacing w:before="156" w:beforeLines="50" w:beforeAutospacing="0"/>
        <w:rPr>
          <w:rFonts w:asciiTheme="minorEastAsia" w:hAnsiTheme="minorEastAsia" w:eastAsiaTheme="minorEastAsia" w:cstheme="minorBidi"/>
          <w:szCs w:val="22"/>
        </w:rPr>
      </w:pPr>
      <w:r>
        <w:rPr>
          <w:rFonts w:hint="eastAsia" w:asciiTheme="minorEastAsia" w:hAnsiTheme="minorEastAsia" w:eastAsiaTheme="minorEastAsia"/>
          <w:kern w:val="0"/>
        </w:rPr>
        <w:fldChar w:fldCharType="begin"/>
      </w:r>
      <w:r>
        <w:rPr>
          <w:rFonts w:hint="eastAsia" w:asciiTheme="minorEastAsia" w:hAnsiTheme="minorEastAsia" w:eastAsiaTheme="minorEastAsia"/>
          <w:kern w:val="0"/>
        </w:rPr>
        <w:instrText xml:space="preserve"> TOC \* MERGEFORMAT </w:instrText>
      </w:r>
      <w:r>
        <w:rPr>
          <w:rFonts w:hint="eastAsia" w:asciiTheme="minorEastAsia" w:hAnsiTheme="minorEastAsia" w:eastAsiaTheme="minorEastAsia"/>
          <w:kern w:val="0"/>
        </w:rPr>
        <w:fldChar w:fldCharType="separate"/>
      </w:r>
      <w:r>
        <w:rPr>
          <w:rFonts w:hint="eastAsia" w:asciiTheme="minorEastAsia" w:hAnsiTheme="minorEastAsia" w:eastAsiaTheme="minorEastAsia"/>
        </w:rPr>
        <w:t>前言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_Toc47358577 \h </w:instrText>
      </w:r>
      <w:r>
        <w:rPr>
          <w:rFonts w:asciiTheme="minorEastAsia" w:hAnsiTheme="minorEastAsia" w:eastAsiaTheme="minorEastAsia"/>
        </w:rPr>
        <w:fldChar w:fldCharType="separate"/>
      </w:r>
      <w:r>
        <w:rPr>
          <w:rFonts w:asciiTheme="minorEastAsia" w:hAnsiTheme="minorEastAsia" w:eastAsiaTheme="minorEastAsia"/>
        </w:rPr>
        <w:t>III</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1</w:t>
      </w:r>
      <w:r>
        <w:rPr>
          <w:rFonts w:hint="eastAsia" w:asciiTheme="minorEastAsia" w:hAnsiTheme="minorEastAsia" w:eastAsiaTheme="minorEastAsia"/>
          <w:bCs/>
        </w:rPr>
        <w:t xml:space="preserve">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_Toc47358578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2</w:t>
      </w:r>
      <w:r>
        <w:rPr>
          <w:rFonts w:hint="eastAsia" w:asciiTheme="minorEastAsia" w:hAnsiTheme="minorEastAsia" w:eastAsiaTheme="minorEastAsia"/>
          <w:bCs/>
        </w:rPr>
        <w:t xml:space="preserve">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_Toc47358579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3</w:t>
      </w:r>
      <w:r>
        <w:rPr>
          <w:rFonts w:hint="eastAsia" w:asciiTheme="minorEastAsia" w:hAnsiTheme="minorEastAsia" w:eastAsiaTheme="minorEastAsia"/>
          <w:bCs/>
        </w:rPr>
        <w:t xml:space="preserve"> 方法原理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_Toc47358580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4</w:t>
      </w:r>
      <w:r>
        <w:rPr>
          <w:rFonts w:hint="eastAsia" w:asciiTheme="minorEastAsia" w:hAnsiTheme="minorEastAsia" w:eastAsiaTheme="minorEastAsia"/>
          <w:bCs/>
        </w:rPr>
        <w:t xml:space="preserve"> 试剂和材料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_Toc47358581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5</w:t>
      </w:r>
      <w:r>
        <w:rPr>
          <w:rFonts w:hint="eastAsia" w:asciiTheme="minorEastAsia" w:hAnsiTheme="minorEastAsia" w:eastAsiaTheme="minorEastAsia"/>
          <w:bCs/>
        </w:rPr>
        <w:t xml:space="preserve"> 仪器和设备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_Toc47358582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6</w:t>
      </w:r>
      <w:r>
        <w:rPr>
          <w:rFonts w:hint="eastAsia" w:asciiTheme="minorEastAsia" w:hAnsiTheme="minorEastAsia" w:eastAsiaTheme="minorEastAsia"/>
          <w:bCs/>
        </w:rPr>
        <w:t xml:space="preserve"> 样品</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_Toc47358583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asciiTheme="minorEastAsia" w:hAnsiTheme="minorEastAsia" w:eastAsiaTheme="minorEastAsia"/>
          <w:kern w:val="0"/>
        </w:rPr>
        <w:t>6.1</w:t>
      </w:r>
      <w:r>
        <w:rPr>
          <w:rFonts w:hint="eastAsia" w:asciiTheme="minorEastAsia" w:hAnsiTheme="minorEastAsia" w:eastAsiaTheme="minorEastAsia"/>
          <w:kern w:val="0"/>
        </w:rPr>
        <w:t>样品的采集和保存</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_Toc47358584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asciiTheme="minorEastAsia" w:hAnsiTheme="minorEastAsia" w:eastAsiaTheme="minorEastAsia"/>
          <w:kern w:val="0"/>
        </w:rPr>
        <w:t>6.2</w:t>
      </w:r>
      <w:r>
        <w:rPr>
          <w:rFonts w:hint="eastAsia" w:asciiTheme="minorEastAsia" w:hAnsiTheme="minorEastAsia" w:eastAsiaTheme="minorEastAsia"/>
          <w:kern w:val="0"/>
        </w:rPr>
        <w:t>样品的制备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_Toc47358585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7</w:t>
      </w:r>
      <w:r>
        <w:rPr>
          <w:rFonts w:hint="eastAsia" w:asciiTheme="minorEastAsia" w:hAnsiTheme="minorEastAsia" w:eastAsiaTheme="minorEastAsia"/>
          <w:bCs/>
        </w:rPr>
        <w:t xml:space="preserve"> 分析步骤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_Toc47358586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cs="宋体" w:asciiTheme="minorEastAsia" w:hAnsiTheme="minorEastAsia" w:eastAsiaTheme="minorEastAsia"/>
          <w:kern w:val="0"/>
        </w:rPr>
        <w:t>7.1</w:t>
      </w:r>
      <w:r>
        <w:rPr>
          <w:rFonts w:hint="eastAsia" w:asciiTheme="minorEastAsia" w:hAnsiTheme="minorEastAsia" w:eastAsiaTheme="minorEastAsia"/>
          <w:kern w:val="0"/>
        </w:rPr>
        <w:t xml:space="preserve"> 仪器条件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_Toc47358587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cs="宋体" w:asciiTheme="minorEastAsia" w:hAnsiTheme="minorEastAsia" w:eastAsiaTheme="minorEastAsia"/>
          <w:kern w:val="0"/>
        </w:rPr>
        <w:t>7.2</w:t>
      </w:r>
      <w:r>
        <w:rPr>
          <w:rFonts w:hint="eastAsia" w:asciiTheme="minorEastAsia" w:hAnsiTheme="minorEastAsia" w:eastAsiaTheme="minorEastAsia"/>
          <w:kern w:val="0"/>
        </w:rPr>
        <w:t xml:space="preserve"> 校准曲线绘制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_Toc47358588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cs="宋体" w:asciiTheme="minorEastAsia" w:hAnsiTheme="minorEastAsia" w:eastAsiaTheme="minorEastAsia"/>
          <w:kern w:val="0"/>
        </w:rPr>
        <w:t>7.3</w:t>
      </w:r>
      <w:r>
        <w:rPr>
          <w:rFonts w:hint="eastAsia" w:asciiTheme="minorEastAsia" w:hAnsiTheme="minorEastAsia" w:eastAsiaTheme="minorEastAsia"/>
          <w:kern w:val="0"/>
        </w:rPr>
        <w:t xml:space="preserve"> 样品测定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_Toc47358589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8</w:t>
      </w:r>
      <w:r>
        <w:rPr>
          <w:rFonts w:hint="eastAsia" w:asciiTheme="minorEastAsia" w:hAnsiTheme="minorEastAsia" w:eastAsiaTheme="minorEastAsia"/>
          <w:bCs/>
        </w:rPr>
        <w:t xml:space="preserve"> 结果计算与表示</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_Toc47358590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asciiTheme="minorEastAsia" w:hAnsiTheme="minorEastAsia" w:eastAsiaTheme="minorEastAsia"/>
          <w:kern w:val="0"/>
        </w:rPr>
        <w:t>8.1</w:t>
      </w:r>
      <w:r>
        <w:rPr>
          <w:rFonts w:hint="eastAsia" w:asciiTheme="minorEastAsia" w:hAnsiTheme="minorEastAsia" w:eastAsiaTheme="minorEastAsia"/>
          <w:kern w:val="0"/>
        </w:rPr>
        <w:t>定性分析</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_Toc47358591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asciiTheme="minorEastAsia" w:hAnsiTheme="minorEastAsia" w:eastAsiaTheme="minorEastAsia"/>
          <w:kern w:val="0"/>
        </w:rPr>
        <w:t>8.2</w:t>
      </w:r>
      <w:r>
        <w:rPr>
          <w:rFonts w:hint="eastAsia" w:asciiTheme="minorEastAsia" w:hAnsiTheme="minorEastAsia" w:eastAsiaTheme="minorEastAsia"/>
          <w:kern w:val="0"/>
        </w:rPr>
        <w:t>定量分析</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_Toc47358592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asciiTheme="minorEastAsia" w:hAnsiTheme="minorEastAsia" w:eastAsiaTheme="minorEastAsia"/>
          <w:kern w:val="0"/>
        </w:rPr>
        <w:t>8.3</w:t>
      </w:r>
      <w:r>
        <w:rPr>
          <w:rFonts w:hint="eastAsia" w:asciiTheme="minorEastAsia" w:hAnsiTheme="minorEastAsia" w:eastAsiaTheme="minorEastAsia"/>
          <w:kern w:val="0"/>
        </w:rPr>
        <w:t>结果表示</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_Toc47358593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9</w:t>
      </w:r>
      <w:r>
        <w:rPr>
          <w:rFonts w:hint="eastAsia" w:asciiTheme="minorEastAsia" w:hAnsiTheme="minorEastAsia" w:eastAsiaTheme="minorEastAsia"/>
          <w:bCs/>
        </w:rPr>
        <w:t xml:space="preserve"> 精密度和准确度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_Toc47358594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10</w:t>
      </w:r>
      <w:r>
        <w:rPr>
          <w:rFonts w:hint="eastAsia" w:asciiTheme="minorEastAsia" w:hAnsiTheme="minorEastAsia" w:eastAsiaTheme="minorEastAsia"/>
          <w:bCs/>
        </w:rPr>
        <w:t xml:space="preserve"> 质量保证与质量控制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_Toc47358597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asciiTheme="minorEastAsia" w:hAnsiTheme="minorEastAsia" w:eastAsiaTheme="minorEastAsia"/>
          <w:kern w:val="0"/>
        </w:rPr>
        <w:t>10.1</w:t>
      </w:r>
      <w:r>
        <w:rPr>
          <w:rFonts w:hint="eastAsia" w:asciiTheme="minorEastAsia" w:hAnsiTheme="minorEastAsia" w:eastAsiaTheme="minorEastAsia"/>
          <w:kern w:val="0"/>
        </w:rPr>
        <w:t>质量保证</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_Toc47358598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p>
    <w:p>
      <w:pPr>
        <w:pStyle w:val="11"/>
        <w:tabs>
          <w:tab w:val="right" w:leader="dot" w:pos="8302"/>
        </w:tabs>
        <w:spacing w:before="156" w:beforeLines="50" w:beforeAutospacing="0"/>
        <w:ind w:left="0" w:leftChars="0" w:firstLine="210" w:firstLineChars="100"/>
        <w:rPr>
          <w:rFonts w:asciiTheme="minorEastAsia" w:hAnsiTheme="minorEastAsia" w:eastAsiaTheme="minorEastAsia" w:cstheme="minorBidi"/>
          <w:szCs w:val="22"/>
        </w:rPr>
      </w:pPr>
      <w:r>
        <w:rPr>
          <w:rFonts w:asciiTheme="minorEastAsia" w:hAnsiTheme="minorEastAsia" w:eastAsiaTheme="minorEastAsia"/>
          <w:kern w:val="0"/>
        </w:rPr>
        <w:t>10.2</w:t>
      </w:r>
      <w:r>
        <w:rPr>
          <w:rFonts w:hint="eastAsia" w:asciiTheme="minorEastAsia" w:hAnsiTheme="minorEastAsia" w:eastAsiaTheme="minorEastAsia"/>
          <w:kern w:val="0"/>
        </w:rPr>
        <w:t>质量控制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_Toc47358599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asciiTheme="minorEastAsia" w:hAnsiTheme="minorEastAsia" w:eastAsiaTheme="minorEastAsia"/>
          <w:bCs/>
        </w:rPr>
        <w:t>11</w:t>
      </w:r>
      <w:r>
        <w:rPr>
          <w:rFonts w:hint="eastAsia" w:asciiTheme="minorEastAsia" w:hAnsiTheme="minorEastAsia" w:eastAsiaTheme="minorEastAsia"/>
          <w:bCs/>
        </w:rPr>
        <w:t xml:space="preserve"> 废物处理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_Toc47358600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hint="eastAsia" w:asciiTheme="minorEastAsia" w:hAnsiTheme="minorEastAsia" w:eastAsiaTheme="minorEastAsia"/>
        </w:rPr>
        <w:t>附录</w:t>
      </w:r>
      <w:r>
        <w:rPr>
          <w:rFonts w:asciiTheme="minorEastAsia" w:hAnsiTheme="minorEastAsia" w:eastAsiaTheme="minorEastAsia"/>
        </w:rPr>
        <w:t>A</w:t>
      </w:r>
      <w:r>
        <w:rPr>
          <w:rFonts w:hint="eastAsia" w:asciiTheme="minorEastAsia" w:hAnsiTheme="minorEastAsia" w:eastAsiaTheme="minorEastAsia"/>
        </w:rPr>
        <w:t>（规范性附录）方法的检出限和测定下限</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_Toc47358601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p>
    <w:p>
      <w:pPr>
        <w:pStyle w:val="10"/>
        <w:tabs>
          <w:tab w:val="right" w:leader="dot" w:pos="8302"/>
        </w:tabs>
        <w:spacing w:before="156" w:beforeLines="50" w:beforeAutospacing="0"/>
        <w:rPr>
          <w:rFonts w:asciiTheme="minorEastAsia" w:hAnsiTheme="minorEastAsia" w:eastAsiaTheme="minorEastAsia" w:cstheme="minorBidi"/>
          <w:szCs w:val="22"/>
        </w:rPr>
      </w:pPr>
      <w:r>
        <w:rPr>
          <w:rFonts w:hint="eastAsia" w:asciiTheme="minorEastAsia" w:hAnsiTheme="minorEastAsia" w:eastAsiaTheme="minorEastAsia"/>
        </w:rPr>
        <w:t>附录</w:t>
      </w:r>
      <w:r>
        <w:rPr>
          <w:rFonts w:asciiTheme="minorEastAsia" w:hAnsiTheme="minorEastAsia" w:eastAsiaTheme="minorEastAsia"/>
        </w:rPr>
        <w:t>B</w:t>
      </w:r>
      <w:r>
        <w:rPr>
          <w:rFonts w:hint="eastAsia" w:asciiTheme="minorEastAsia" w:hAnsiTheme="minorEastAsia" w:eastAsiaTheme="minorEastAsia"/>
        </w:rPr>
        <w:t>（资料性附录）方法精密度和准确度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_Toc47358604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p>
    <w:p>
      <w:pPr>
        <w:snapToGrid w:val="0"/>
        <w:spacing w:before="156" w:beforeLines="50" w:beforeAutospacing="0" w:after="156" w:afterLines="50" w:line="240" w:lineRule="atLeast"/>
        <w:rPr>
          <w:rFonts w:ascii="Times New Roman" w:hAnsi="Times New Roman"/>
          <w:kern w:val="0"/>
        </w:rPr>
      </w:pPr>
      <w:r>
        <w:rPr>
          <w:rFonts w:hint="eastAsia" w:asciiTheme="minorEastAsia" w:hAnsiTheme="minorEastAsia" w:eastAsiaTheme="minorEastAsia"/>
          <w:kern w:val="0"/>
        </w:rPr>
        <w:fldChar w:fldCharType="end"/>
      </w:r>
    </w:p>
    <w:p>
      <w:pPr>
        <w:jc w:val="center"/>
        <w:rPr>
          <w:rFonts w:ascii="黑体" w:hAnsi="黑体" w:eastAsia="黑体"/>
          <w:sz w:val="32"/>
          <w:szCs w:val="32"/>
        </w:rPr>
      </w:pPr>
      <w:bookmarkStart w:id="2" w:name="_Toc23404630"/>
      <w:bookmarkStart w:id="3" w:name="_Toc21619"/>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sectPr>
          <w:headerReference r:id="rId7" w:type="default"/>
          <w:footerReference r:id="rId8" w:type="default"/>
          <w:pgSz w:w="11906" w:h="16838"/>
          <w:pgMar w:top="1440" w:right="1797" w:bottom="1440" w:left="1797" w:header="1417" w:footer="992" w:gutter="0"/>
          <w:pgNumType w:fmt="upperRoman" w:start="1"/>
          <w:cols w:space="425" w:num="1"/>
          <w:docGrid w:type="lines" w:linePitch="312" w:charSpace="0"/>
        </w:sectPr>
      </w:pPr>
    </w:p>
    <w:p>
      <w:pPr>
        <w:jc w:val="center"/>
        <w:rPr>
          <w:rFonts w:ascii="黑体" w:hAnsi="黑体" w:eastAsia="黑体"/>
          <w:sz w:val="32"/>
          <w:szCs w:val="32"/>
        </w:rPr>
      </w:pPr>
    </w:p>
    <w:p>
      <w:pPr>
        <w:pStyle w:val="2"/>
        <w:jc w:val="center"/>
        <w:rPr>
          <w:rFonts w:ascii="黑体" w:hAnsi="黑体" w:eastAsia="黑体"/>
          <w:sz w:val="32"/>
          <w:szCs w:val="32"/>
        </w:rPr>
      </w:pPr>
      <w:bookmarkStart w:id="4" w:name="_Toc47358577"/>
      <w:r>
        <w:rPr>
          <w:rFonts w:hint="eastAsia" w:ascii="黑体" w:hAnsi="黑体" w:eastAsia="黑体"/>
          <w:sz w:val="32"/>
          <w:szCs w:val="32"/>
        </w:rPr>
        <w:t>前  言</w:t>
      </w:r>
      <w:bookmarkEnd w:id="2"/>
      <w:bookmarkEnd w:id="3"/>
      <w:bookmarkEnd w:id="4"/>
    </w:p>
    <w:p>
      <w:pPr>
        <w:spacing w:before="0" w:beforeAutospacing="0" w:line="360" w:lineRule="auto"/>
        <w:ind w:firstLine="420" w:firstLineChars="200"/>
        <w:rPr>
          <w:rFonts w:ascii="Times New Roman" w:hAnsi="Times New Roman"/>
          <w:kern w:val="0"/>
        </w:rPr>
      </w:pPr>
      <w:r>
        <w:rPr>
          <w:rFonts w:hint="eastAsia" w:ascii="Times New Roman" w:hAnsi="Times New Roman"/>
          <w:kern w:val="0"/>
        </w:rPr>
        <w:t>本</w:t>
      </w:r>
      <w:r>
        <w:rPr>
          <w:rFonts w:hint="eastAsia" w:ascii="Times New Roman" w:hAnsi="Times New Roman"/>
          <w:kern w:val="0"/>
          <w:lang w:eastAsia="zh-CN"/>
        </w:rPr>
        <w:t>标准</w:t>
      </w:r>
      <w:r>
        <w:rPr>
          <w:rFonts w:hint="eastAsia" w:ascii="Times New Roman" w:hAnsi="Times New Roman"/>
          <w:kern w:val="0"/>
        </w:rPr>
        <w:t>按照GB/T 1.1—20</w:t>
      </w:r>
      <w:r>
        <w:rPr>
          <w:rFonts w:ascii="Times New Roman" w:hAnsi="Times New Roman"/>
          <w:kern w:val="0"/>
        </w:rPr>
        <w:t>20</w:t>
      </w:r>
      <w:r>
        <w:rPr>
          <w:rFonts w:hint="eastAsia" w:ascii="Times New Roman" w:hAnsi="Times New Roman"/>
          <w:kern w:val="0"/>
        </w:rPr>
        <w:t>《标准化工作导则 第1部分：标准化</w:t>
      </w:r>
      <w:r>
        <w:rPr>
          <w:rFonts w:ascii="Times New Roman" w:hAnsi="Times New Roman"/>
          <w:kern w:val="0"/>
        </w:rPr>
        <w:t>文件的结构和起草规则</w:t>
      </w:r>
      <w:r>
        <w:rPr>
          <w:rFonts w:hint="eastAsia" w:ascii="Times New Roman" w:hAnsi="Times New Roman"/>
          <w:kern w:val="0"/>
        </w:rPr>
        <w:t>》和GB/T 20001.4—2015《标准编写规则 第4部分：试验方法标准》的规定起草。</w:t>
      </w:r>
    </w:p>
    <w:p>
      <w:pPr>
        <w:spacing w:before="0" w:beforeAutospacing="0" w:line="360" w:lineRule="auto"/>
        <w:ind w:firstLine="420" w:firstLineChars="200"/>
        <w:rPr>
          <w:rFonts w:ascii="Times New Roman" w:hAnsi="Times New Roman"/>
          <w:kern w:val="0"/>
        </w:rPr>
      </w:pPr>
      <w:r>
        <w:rPr>
          <w:rFonts w:hint="eastAsia" w:ascii="Times New Roman" w:hAnsi="Times New Roman"/>
          <w:kern w:val="0"/>
        </w:rPr>
        <w:t>请注意</w:t>
      </w:r>
      <w:r>
        <w:rPr>
          <w:rFonts w:ascii="Times New Roman" w:hAnsi="Times New Roman"/>
          <w:kern w:val="0"/>
        </w:rPr>
        <w:t>本</w:t>
      </w:r>
      <w:r>
        <w:rPr>
          <w:rFonts w:hint="eastAsia" w:ascii="Times New Roman" w:hAnsi="Times New Roman"/>
          <w:kern w:val="0"/>
          <w:lang w:eastAsia="zh-CN"/>
        </w:rPr>
        <w:t>标准</w:t>
      </w:r>
      <w:r>
        <w:rPr>
          <w:rFonts w:ascii="Times New Roman" w:hAnsi="Times New Roman"/>
          <w:kern w:val="0"/>
        </w:rPr>
        <w:t>的</w:t>
      </w:r>
      <w:r>
        <w:rPr>
          <w:rFonts w:hint="eastAsia" w:ascii="Times New Roman" w:hAnsi="Times New Roman"/>
          <w:kern w:val="0"/>
        </w:rPr>
        <w:t>某些</w:t>
      </w:r>
      <w:r>
        <w:rPr>
          <w:rFonts w:ascii="Times New Roman" w:hAnsi="Times New Roman"/>
          <w:kern w:val="0"/>
        </w:rPr>
        <w:t>内容可能涉及专利，本标准的发布机构不承担识别这些专利的责任</w:t>
      </w:r>
      <w:r>
        <w:rPr>
          <w:rFonts w:hint="eastAsia" w:ascii="Times New Roman" w:hAnsi="Times New Roman"/>
          <w:kern w:val="0"/>
        </w:rPr>
        <w:t>。</w:t>
      </w:r>
    </w:p>
    <w:p>
      <w:pPr>
        <w:spacing w:before="0" w:beforeAutospacing="0" w:line="360" w:lineRule="auto"/>
        <w:ind w:firstLine="420" w:firstLineChars="200"/>
        <w:rPr>
          <w:rFonts w:ascii="Times New Roman" w:hAnsi="Times New Roman"/>
          <w:kern w:val="0"/>
        </w:rPr>
      </w:pPr>
      <w:r>
        <w:rPr>
          <w:rFonts w:hint="eastAsia" w:ascii="Times New Roman" w:hAnsi="Times New Roman"/>
          <w:kern w:val="0"/>
        </w:rPr>
        <w:t>本</w:t>
      </w:r>
      <w:r>
        <w:rPr>
          <w:rFonts w:hint="eastAsia" w:ascii="Times New Roman" w:hAnsi="Times New Roman"/>
          <w:kern w:val="0"/>
          <w:lang w:eastAsia="zh-CN"/>
        </w:rPr>
        <w:t>标准</w:t>
      </w:r>
      <w:r>
        <w:rPr>
          <w:rFonts w:hint="eastAsia" w:ascii="Times New Roman" w:hAnsi="Times New Roman"/>
          <w:kern w:val="0"/>
        </w:rPr>
        <w:t>由淮河流域生态环境</w:t>
      </w:r>
      <w:r>
        <w:rPr>
          <w:rFonts w:ascii="Times New Roman" w:hAnsi="Times New Roman"/>
          <w:kern w:val="0"/>
        </w:rPr>
        <w:t>监督管理局</w:t>
      </w:r>
      <w:r>
        <w:rPr>
          <w:rFonts w:hint="eastAsia" w:ascii="Times New Roman" w:hAnsi="Times New Roman"/>
          <w:kern w:val="0"/>
        </w:rPr>
        <w:t>生态环境监测</w:t>
      </w:r>
      <w:r>
        <w:rPr>
          <w:rFonts w:ascii="Times New Roman" w:hAnsi="Times New Roman"/>
          <w:kern w:val="0"/>
        </w:rPr>
        <w:t>与科学研究</w:t>
      </w:r>
      <w:r>
        <w:rPr>
          <w:rFonts w:hint="eastAsia" w:ascii="Times New Roman" w:hAnsi="Times New Roman"/>
          <w:kern w:val="0"/>
        </w:rPr>
        <w:t>中心提出</w:t>
      </w:r>
      <w:r>
        <w:rPr>
          <w:rFonts w:ascii="Times New Roman" w:hAnsi="Times New Roman"/>
          <w:kern w:val="0"/>
        </w:rPr>
        <w:t>，由中国水利学会归口。</w:t>
      </w:r>
      <w:bookmarkStart w:id="116" w:name="_GoBack"/>
      <w:bookmarkEnd w:id="116"/>
    </w:p>
    <w:p>
      <w:pPr>
        <w:spacing w:before="0" w:beforeAutospacing="0" w:line="360" w:lineRule="auto"/>
        <w:ind w:firstLine="420" w:firstLineChars="200"/>
        <w:rPr>
          <w:rFonts w:ascii="Times New Roman" w:hAnsi="Times New Roman"/>
          <w:kern w:val="0"/>
        </w:rPr>
      </w:pPr>
      <w:r>
        <w:rPr>
          <w:rFonts w:hint="eastAsia" w:ascii="Times New Roman" w:hAnsi="Times New Roman"/>
          <w:kern w:val="0"/>
        </w:rPr>
        <w:t>本</w:t>
      </w:r>
      <w:r>
        <w:rPr>
          <w:rFonts w:hint="eastAsia" w:ascii="Times New Roman" w:hAnsi="Times New Roman"/>
          <w:kern w:val="0"/>
          <w:lang w:eastAsia="zh-CN"/>
        </w:rPr>
        <w:t>标准</w:t>
      </w:r>
      <w:r>
        <w:rPr>
          <w:rFonts w:ascii="Times New Roman" w:hAnsi="Times New Roman"/>
          <w:kern w:val="0"/>
        </w:rPr>
        <w:t>起草单位：</w:t>
      </w:r>
      <w:r>
        <w:rPr>
          <w:rFonts w:hint="eastAsia" w:ascii="Times New Roman" w:hAnsi="Times New Roman"/>
          <w:kern w:val="0"/>
        </w:rPr>
        <w:t>淮河流域生态环境</w:t>
      </w:r>
      <w:r>
        <w:rPr>
          <w:rFonts w:ascii="Times New Roman" w:hAnsi="Times New Roman"/>
          <w:kern w:val="0"/>
        </w:rPr>
        <w:t>监督管理局</w:t>
      </w:r>
      <w:r>
        <w:rPr>
          <w:rFonts w:hint="eastAsia" w:ascii="Times New Roman" w:hAnsi="Times New Roman"/>
          <w:kern w:val="0"/>
        </w:rPr>
        <w:t>生态环境监测</w:t>
      </w:r>
      <w:r>
        <w:rPr>
          <w:rFonts w:ascii="Times New Roman" w:hAnsi="Times New Roman"/>
          <w:kern w:val="0"/>
        </w:rPr>
        <w:t>与科学研究</w:t>
      </w:r>
      <w:r>
        <w:rPr>
          <w:rFonts w:hint="eastAsia" w:ascii="Times New Roman" w:hAnsi="Times New Roman"/>
          <w:kern w:val="0"/>
        </w:rPr>
        <w:t>中心、海河流域北海海域生态环境</w:t>
      </w:r>
      <w:r>
        <w:rPr>
          <w:rFonts w:ascii="Times New Roman" w:hAnsi="Times New Roman"/>
          <w:kern w:val="0"/>
        </w:rPr>
        <w:t>监督管理局</w:t>
      </w:r>
      <w:r>
        <w:rPr>
          <w:rFonts w:hint="eastAsia" w:ascii="Times New Roman" w:hAnsi="Times New Roman"/>
          <w:kern w:val="0"/>
        </w:rPr>
        <w:t>生态环境监测</w:t>
      </w:r>
      <w:r>
        <w:rPr>
          <w:rFonts w:ascii="Times New Roman" w:hAnsi="Times New Roman"/>
          <w:kern w:val="0"/>
        </w:rPr>
        <w:t>与科学研究</w:t>
      </w:r>
      <w:r>
        <w:rPr>
          <w:rFonts w:hint="eastAsia" w:ascii="Times New Roman" w:hAnsi="Times New Roman"/>
          <w:kern w:val="0"/>
        </w:rPr>
        <w:t>中心。</w:t>
      </w:r>
    </w:p>
    <w:p>
      <w:pPr>
        <w:spacing w:before="0" w:beforeAutospacing="0" w:line="360" w:lineRule="auto"/>
        <w:ind w:firstLine="420" w:firstLineChars="200"/>
        <w:rPr>
          <w:rFonts w:ascii="Times New Roman" w:hAnsi="Times New Roman"/>
          <w:kern w:val="0"/>
          <w:sz w:val="32"/>
          <w:szCs w:val="32"/>
        </w:rPr>
        <w:sectPr>
          <w:pgSz w:w="11906" w:h="16838"/>
          <w:pgMar w:top="1440" w:right="1797" w:bottom="1440" w:left="1797" w:header="1417" w:footer="992" w:gutter="0"/>
          <w:pgNumType w:fmt="upperRoman"/>
          <w:cols w:space="425" w:num="1"/>
          <w:docGrid w:type="lines" w:linePitch="312" w:charSpace="0"/>
        </w:sectPr>
      </w:pPr>
      <w:r>
        <w:rPr>
          <w:rFonts w:hint="eastAsia" w:ascii="Times New Roman" w:hAnsi="Times New Roman"/>
          <w:kern w:val="0"/>
        </w:rPr>
        <w:t>本</w:t>
      </w:r>
      <w:r>
        <w:rPr>
          <w:rFonts w:hint="eastAsia" w:ascii="Times New Roman" w:hAnsi="Times New Roman"/>
          <w:kern w:val="0"/>
          <w:lang w:eastAsia="zh-CN"/>
        </w:rPr>
        <w:t>标准</w:t>
      </w:r>
      <w:r>
        <w:rPr>
          <w:rFonts w:hint="eastAsia" w:ascii="Times New Roman" w:hAnsi="Times New Roman"/>
          <w:kern w:val="0"/>
        </w:rPr>
        <w:t>主要起草</w:t>
      </w:r>
      <w:r>
        <w:rPr>
          <w:rFonts w:ascii="Times New Roman" w:hAnsi="Times New Roman"/>
          <w:kern w:val="0"/>
        </w:rPr>
        <w:t>人</w:t>
      </w:r>
      <w:r>
        <w:rPr>
          <w:rFonts w:hint="eastAsia" w:ascii="Times New Roman" w:hAnsi="Times New Roman"/>
          <w:kern w:val="0"/>
        </w:rPr>
        <w:t>：王海兵、曹艳秀、赵祺平、张俊、李慧慧、李明、何莉莉、王萍、张婷婷、谭伟、尚春林、张建国</w:t>
      </w:r>
      <w:r>
        <w:rPr>
          <w:rFonts w:ascii="Times New Roman" w:hAnsi="Times New Roman"/>
          <w:kern w:val="0"/>
        </w:rPr>
        <w:t>、</w:t>
      </w:r>
      <w:r>
        <w:rPr>
          <w:rFonts w:hint="eastAsia" w:ascii="Times New Roman" w:hAnsi="Times New Roman"/>
          <w:kern w:val="0"/>
        </w:rPr>
        <w:t>曾凤莲</w:t>
      </w:r>
      <w:r>
        <w:rPr>
          <w:rFonts w:ascii="Times New Roman" w:hAnsi="Times New Roman"/>
          <w:kern w:val="0"/>
        </w:rPr>
        <w:t>、</w:t>
      </w:r>
      <w:r>
        <w:rPr>
          <w:rFonts w:hint="eastAsia" w:ascii="Times New Roman" w:hAnsi="Times New Roman"/>
          <w:kern w:val="0"/>
        </w:rPr>
        <w:t>王忠</w:t>
      </w:r>
      <w:r>
        <w:rPr>
          <w:rFonts w:ascii="Times New Roman" w:hAnsi="Times New Roman"/>
          <w:kern w:val="0"/>
        </w:rPr>
        <w:t>、王宝宝、</w:t>
      </w:r>
      <w:r>
        <w:rPr>
          <w:rFonts w:hint="eastAsia" w:ascii="Times New Roman" w:hAnsi="Times New Roman"/>
          <w:kern w:val="0"/>
        </w:rPr>
        <w:t>王晖</w:t>
      </w:r>
      <w:r>
        <w:rPr>
          <w:rFonts w:ascii="Times New Roman" w:hAnsi="Times New Roman"/>
          <w:kern w:val="0"/>
        </w:rPr>
        <w:t>、</w:t>
      </w:r>
      <w:r>
        <w:rPr>
          <w:rFonts w:hint="eastAsia" w:ascii="Times New Roman" w:hAnsi="Times New Roman"/>
          <w:kern w:val="0"/>
        </w:rPr>
        <w:t>胡裕明、吴培任、杨刚。</w:t>
      </w:r>
    </w:p>
    <w:p>
      <w:pPr>
        <w:spacing w:before="0" w:beforeAutospacing="0" w:line="560" w:lineRule="exact"/>
        <w:ind w:firstLine="640" w:firstLineChars="200"/>
        <w:jc w:val="center"/>
        <w:rPr>
          <w:rFonts w:ascii="Times New Roman" w:hAnsi="Times New Roman" w:eastAsia="黑体"/>
          <w:kern w:val="0"/>
          <w:sz w:val="32"/>
          <w:szCs w:val="32"/>
        </w:rPr>
      </w:pPr>
      <w:r>
        <w:rPr>
          <w:rFonts w:hint="eastAsia" w:ascii="Times New Roman" w:hAnsi="Times New Roman" w:eastAsia="黑体"/>
          <w:kern w:val="0"/>
          <w:sz w:val="32"/>
          <w:szCs w:val="32"/>
        </w:rPr>
        <w:t>水质 涕灭威、克百威和甲萘威的测定</w:t>
      </w:r>
    </w:p>
    <w:p>
      <w:pPr>
        <w:spacing w:before="0" w:beforeAutospacing="0" w:after="318" w:afterLines="100" w:line="560" w:lineRule="exact"/>
        <w:ind w:firstLine="640" w:firstLineChars="200"/>
        <w:jc w:val="center"/>
        <w:rPr>
          <w:rFonts w:ascii="Times New Roman" w:hAnsi="Times New Roman" w:eastAsia="黑体"/>
          <w:kern w:val="0"/>
          <w:sz w:val="32"/>
          <w:szCs w:val="32"/>
        </w:rPr>
      </w:pPr>
      <w:r>
        <w:rPr>
          <w:rFonts w:hint="eastAsia" w:ascii="Times New Roman" w:hAnsi="Times New Roman" w:eastAsia="黑体"/>
          <w:kern w:val="0"/>
          <w:sz w:val="32"/>
          <w:szCs w:val="32"/>
        </w:rPr>
        <w:t>液相色谱法</w:t>
      </w:r>
    </w:p>
    <w:p>
      <w:pPr>
        <w:widowControl/>
        <w:spacing w:before="0" w:beforeAutospacing="0" w:line="360" w:lineRule="auto"/>
        <w:ind w:firstLine="420" w:firstLineChars="200"/>
        <w:jc w:val="left"/>
        <w:rPr>
          <w:rFonts w:ascii="Times New Roman" w:hAnsi="Times New Roman" w:eastAsia="黑体"/>
          <w:kern w:val="0"/>
        </w:rPr>
      </w:pPr>
      <w:r>
        <w:rPr>
          <w:rFonts w:hint="eastAsia" w:ascii="Times New Roman" w:hAnsi="Times New Roman" w:eastAsia="黑体"/>
          <w:kern w:val="0"/>
          <w:lang w:bidi="ar"/>
        </w:rPr>
        <w:t>警告：实验中使用的标准物质、有机溶剂等均有一定的毒性，使用过程应在通风橱中进行，并注意佩戴防护器具，避免吸入、接触皮肤和衣物。</w:t>
      </w:r>
    </w:p>
    <w:p>
      <w:pPr>
        <w:pStyle w:val="2"/>
        <w:numPr>
          <w:ilvl w:val="0"/>
          <w:numId w:val="1"/>
        </w:numPr>
        <w:spacing w:before="318" w:beforeLines="100" w:after="318" w:afterLines="100"/>
        <w:rPr>
          <w:rFonts w:ascii="Times New Roman" w:hAnsi="Times New Roman" w:eastAsia="黑体"/>
          <w:b w:val="0"/>
          <w:bCs/>
          <w:sz w:val="21"/>
        </w:rPr>
      </w:pPr>
      <w:bookmarkStart w:id="5" w:name="_Toc23404631"/>
      <w:bookmarkStart w:id="6" w:name="_Toc47358578"/>
      <w:bookmarkStart w:id="7" w:name="_Toc14240"/>
      <w:r>
        <w:rPr>
          <w:rFonts w:hint="eastAsia" w:ascii="Times New Roman" w:hAnsi="Times New Roman" w:eastAsia="黑体"/>
          <w:b w:val="0"/>
          <w:bCs/>
          <w:sz w:val="21"/>
        </w:rPr>
        <w:t xml:space="preserve"> 范围</w:t>
      </w:r>
      <w:bookmarkEnd w:id="5"/>
      <w:bookmarkEnd w:id="6"/>
      <w:bookmarkEnd w:id="7"/>
    </w:p>
    <w:p>
      <w:pPr>
        <w:spacing w:before="0" w:beforeAutospacing="0" w:line="360" w:lineRule="auto"/>
        <w:ind w:firstLine="420"/>
        <w:rPr>
          <w:rFonts w:ascii="Times New Roman" w:hAnsi="Times New Roman"/>
          <w:kern w:val="0"/>
        </w:rPr>
      </w:pPr>
      <w:r>
        <w:rPr>
          <w:rFonts w:hint="eastAsia" w:ascii="Times New Roman" w:hAnsi="Times New Roman"/>
          <w:kern w:val="0"/>
        </w:rPr>
        <w:t>本文件规定了测定水中涕灭威、克百威和甲萘威的液相色谱方法。</w:t>
      </w:r>
    </w:p>
    <w:p>
      <w:pPr>
        <w:spacing w:before="0" w:beforeAutospacing="0" w:line="360" w:lineRule="auto"/>
        <w:ind w:firstLine="420"/>
        <w:rPr>
          <w:rFonts w:ascii="Times New Roman" w:hAnsi="Times New Roman"/>
          <w:kern w:val="0"/>
        </w:rPr>
      </w:pPr>
      <w:r>
        <w:rPr>
          <w:rFonts w:hint="eastAsia" w:ascii="Times New Roman" w:hAnsi="Times New Roman"/>
          <w:kern w:val="0"/>
        </w:rPr>
        <w:t>本文件适用于采用</w:t>
      </w:r>
      <w:r>
        <w:rPr>
          <w:rFonts w:ascii="Times New Roman" w:hAnsi="Times New Roman"/>
          <w:kern w:val="0"/>
        </w:rPr>
        <w:t>液相</w:t>
      </w:r>
      <w:r>
        <w:rPr>
          <w:rFonts w:hint="eastAsia" w:ascii="Times New Roman" w:hAnsi="Times New Roman"/>
          <w:kern w:val="0"/>
        </w:rPr>
        <w:t>色谱</w:t>
      </w:r>
      <w:r>
        <w:rPr>
          <w:rFonts w:ascii="Times New Roman" w:hAnsi="Times New Roman"/>
          <w:kern w:val="0"/>
        </w:rPr>
        <w:t>方法</w:t>
      </w:r>
      <w:r>
        <w:rPr>
          <w:rFonts w:hint="eastAsia" w:ascii="Times New Roman" w:hAnsi="Times New Roman"/>
          <w:kern w:val="0"/>
        </w:rPr>
        <w:t>测定地表水、地下水以及饮用水中的涕灭威、克百威和甲萘威。</w:t>
      </w:r>
    </w:p>
    <w:p>
      <w:pPr>
        <w:spacing w:before="0" w:beforeAutospacing="0" w:line="360" w:lineRule="auto"/>
        <w:ind w:firstLine="420"/>
        <w:rPr>
          <w:rFonts w:ascii="Times New Roman" w:hAnsi="Times New Roman"/>
          <w:kern w:val="0"/>
        </w:rPr>
      </w:pPr>
      <w:r>
        <w:rPr>
          <w:rFonts w:hint="eastAsia" w:ascii="Times New Roman" w:hAnsi="Times New Roman"/>
          <w:kern w:val="0"/>
        </w:rPr>
        <w:t>直接进样，进样量为100</w:t>
      </w:r>
      <w:r>
        <w:rPr>
          <w:rFonts w:ascii="Times New Roman" w:hAnsi="Times New Roman"/>
          <w:kern w:val="0"/>
        </w:rPr>
        <w:t xml:space="preserve"> μ</w:t>
      </w:r>
      <w:r>
        <w:rPr>
          <w:rFonts w:hint="eastAsia" w:ascii="Times New Roman" w:hAnsi="Times New Roman"/>
          <w:kern w:val="0"/>
        </w:rPr>
        <w:t>L时，目标化合物的方法检出限为0.15</w:t>
      </w:r>
      <w:r>
        <w:rPr>
          <w:rFonts w:ascii="Times New Roman" w:hAnsi="Times New Roman"/>
          <w:kern w:val="0"/>
        </w:rPr>
        <w:t>0</w:t>
      </w:r>
      <w:r>
        <w:rPr>
          <w:rFonts w:hint="eastAsia" w:ascii="Times New Roman" w:hAnsi="Times New Roman"/>
          <w:kern w:val="0"/>
        </w:rPr>
        <w:t>~0.18</w:t>
      </w:r>
      <w:r>
        <w:rPr>
          <w:rFonts w:ascii="Times New Roman" w:hAnsi="Times New Roman"/>
          <w:kern w:val="0"/>
        </w:rPr>
        <w:t>0 μ</w:t>
      </w:r>
      <w:r>
        <w:rPr>
          <w:rFonts w:hint="eastAsia" w:ascii="Times New Roman" w:hAnsi="Times New Roman"/>
          <w:kern w:val="0"/>
        </w:rPr>
        <w:t>g/L，测定下限为0.60</w:t>
      </w:r>
      <w:r>
        <w:rPr>
          <w:rFonts w:ascii="Times New Roman" w:hAnsi="Times New Roman"/>
          <w:kern w:val="0"/>
        </w:rPr>
        <w:t>0</w:t>
      </w:r>
      <w:r>
        <w:rPr>
          <w:rFonts w:hint="eastAsia" w:ascii="Times New Roman" w:hAnsi="Times New Roman"/>
          <w:kern w:val="0"/>
        </w:rPr>
        <w:t>~0.72</w:t>
      </w:r>
      <w:r>
        <w:rPr>
          <w:rFonts w:ascii="Times New Roman" w:hAnsi="Times New Roman"/>
          <w:kern w:val="0"/>
        </w:rPr>
        <w:t>0 μ</w:t>
      </w:r>
      <w:r>
        <w:rPr>
          <w:rFonts w:hint="eastAsia" w:ascii="Times New Roman" w:hAnsi="Times New Roman"/>
          <w:kern w:val="0"/>
        </w:rPr>
        <w:t>g/L。</w:t>
      </w:r>
    </w:p>
    <w:p>
      <w:pPr>
        <w:spacing w:before="0" w:beforeAutospacing="0" w:line="360" w:lineRule="auto"/>
        <w:ind w:firstLine="420"/>
        <w:rPr>
          <w:rFonts w:ascii="Times New Roman" w:hAnsi="Times New Roman"/>
          <w:kern w:val="0"/>
        </w:rPr>
      </w:pPr>
      <w:r>
        <w:rPr>
          <w:rFonts w:hint="eastAsia" w:ascii="Times New Roman" w:hAnsi="Times New Roman"/>
          <w:kern w:val="0"/>
        </w:rPr>
        <w:t>样品经固相萃取浓缩处理，取样量为100mL时，目标化合物的方法检出限为0.015~0.020</w:t>
      </w:r>
      <w:r>
        <w:rPr>
          <w:rFonts w:ascii="Times New Roman" w:hAnsi="Times New Roman"/>
          <w:kern w:val="0"/>
        </w:rPr>
        <w:t xml:space="preserve"> μ</w:t>
      </w:r>
      <w:r>
        <w:rPr>
          <w:rFonts w:hint="eastAsia" w:ascii="Times New Roman" w:hAnsi="Times New Roman"/>
          <w:kern w:val="0"/>
        </w:rPr>
        <w:t>g/L，测定下限为0.060~0.080</w:t>
      </w:r>
      <w:r>
        <w:rPr>
          <w:rFonts w:ascii="Times New Roman" w:hAnsi="Times New Roman"/>
          <w:kern w:val="0"/>
        </w:rPr>
        <w:t xml:space="preserve"> μ</w:t>
      </w:r>
      <w:r>
        <w:rPr>
          <w:rFonts w:hint="eastAsia" w:ascii="Times New Roman" w:hAnsi="Times New Roman"/>
          <w:kern w:val="0"/>
        </w:rPr>
        <w:t>g/L。</w:t>
      </w:r>
    </w:p>
    <w:p>
      <w:pPr>
        <w:spacing w:before="0" w:beforeAutospacing="0" w:line="360" w:lineRule="auto"/>
        <w:ind w:firstLine="420"/>
        <w:rPr>
          <w:rFonts w:ascii="Times New Roman" w:hAnsi="Times New Roman"/>
          <w:kern w:val="0"/>
        </w:rPr>
      </w:pPr>
      <w:r>
        <w:rPr>
          <w:rFonts w:hint="eastAsia" w:ascii="Times New Roman" w:hAnsi="Times New Roman"/>
          <w:kern w:val="0"/>
        </w:rPr>
        <w:t>目标化合物的方法检出限和测定下限执行附录A。</w:t>
      </w:r>
    </w:p>
    <w:p>
      <w:pPr>
        <w:pStyle w:val="2"/>
        <w:numPr>
          <w:ilvl w:val="0"/>
          <w:numId w:val="1"/>
        </w:numPr>
        <w:spacing w:before="318" w:beforeLines="100" w:after="318" w:afterLines="100"/>
        <w:rPr>
          <w:rFonts w:ascii="Times New Roman" w:hAnsi="Times New Roman" w:eastAsia="黑体"/>
          <w:b w:val="0"/>
          <w:bCs/>
          <w:sz w:val="21"/>
        </w:rPr>
      </w:pPr>
      <w:bookmarkStart w:id="8" w:name="_Toc23404632"/>
      <w:bookmarkStart w:id="9" w:name="_Toc47358579"/>
      <w:bookmarkStart w:id="10" w:name="_Toc6542"/>
      <w:r>
        <w:rPr>
          <w:rFonts w:hint="eastAsia" w:ascii="Times New Roman" w:hAnsi="Times New Roman" w:eastAsia="黑体"/>
          <w:b w:val="0"/>
          <w:bCs/>
          <w:sz w:val="21"/>
        </w:rPr>
        <w:t xml:space="preserve"> 规范性引用文件</w:t>
      </w:r>
      <w:bookmarkEnd w:id="8"/>
      <w:bookmarkEnd w:id="9"/>
      <w:bookmarkEnd w:id="10"/>
    </w:p>
    <w:p>
      <w:pPr>
        <w:spacing w:before="0" w:beforeAutospacing="0" w:line="360" w:lineRule="auto"/>
        <w:ind w:firstLine="420"/>
        <w:rPr>
          <w:rFonts w:ascii="Times New Roman" w:hAnsi="Times New Roman"/>
          <w:kern w:val="0"/>
        </w:rPr>
      </w:pPr>
      <w:bookmarkStart w:id="11" w:name="OLE_LINK1"/>
      <w:bookmarkStart w:id="12" w:name="OLE_LINK2"/>
      <w:r>
        <w:rPr>
          <w:rFonts w:hint="eastAsia" w:ascii="Times New Roman" w:hAnsi="Times New Roman"/>
          <w:kern w:val="0"/>
        </w:rPr>
        <w:t>下列文件中</w:t>
      </w:r>
      <w:r>
        <w:rPr>
          <w:rFonts w:ascii="Times New Roman" w:hAnsi="Times New Roman"/>
          <w:kern w:val="0"/>
        </w:rPr>
        <w:t>的内容</w:t>
      </w:r>
      <w:r>
        <w:rPr>
          <w:rFonts w:hint="eastAsia" w:ascii="Times New Roman" w:hAnsi="Times New Roman"/>
          <w:kern w:val="0"/>
        </w:rPr>
        <w:t>通过文中</w:t>
      </w:r>
      <w:r>
        <w:rPr>
          <w:rFonts w:ascii="Times New Roman" w:hAnsi="Times New Roman"/>
          <w:kern w:val="0"/>
        </w:rPr>
        <w:t>的规范性引用而构成</w:t>
      </w:r>
      <w:r>
        <w:rPr>
          <w:rFonts w:hint="eastAsia" w:ascii="Times New Roman" w:hAnsi="Times New Roman"/>
          <w:kern w:val="0"/>
        </w:rPr>
        <w:t>本文件必不可少的条款。其中，注日期的引用文件，仅该日期对应的版本适用于本文件；不注明日期的引用文件，其最新版本（包括所有的修改单）适用于本文件。</w:t>
      </w:r>
    </w:p>
    <w:p>
      <w:pPr>
        <w:spacing w:before="0" w:beforeAutospacing="0" w:line="360" w:lineRule="auto"/>
        <w:ind w:firstLine="420"/>
        <w:rPr>
          <w:rFonts w:ascii="Times New Roman" w:hAnsi="Times New Roman"/>
          <w:kern w:val="0"/>
        </w:rPr>
      </w:pPr>
      <w:r>
        <w:rPr>
          <w:rFonts w:hint="eastAsia" w:ascii="Times New Roman" w:hAnsi="Times New Roman"/>
          <w:kern w:val="0"/>
        </w:rPr>
        <w:t>GB/T 5750.2 生活饮用水</w:t>
      </w:r>
      <w:r>
        <w:rPr>
          <w:rFonts w:ascii="Times New Roman" w:hAnsi="Times New Roman"/>
          <w:kern w:val="0"/>
        </w:rPr>
        <w:t>标准检验方法</w:t>
      </w:r>
      <w:r>
        <w:rPr>
          <w:rFonts w:hint="eastAsia" w:ascii="Times New Roman" w:hAnsi="Times New Roman"/>
          <w:kern w:val="0"/>
        </w:rPr>
        <w:t xml:space="preserve"> 水样</w:t>
      </w:r>
      <w:r>
        <w:rPr>
          <w:rFonts w:ascii="Times New Roman" w:hAnsi="Times New Roman"/>
          <w:kern w:val="0"/>
        </w:rPr>
        <w:t>的采集与保存</w:t>
      </w:r>
    </w:p>
    <w:bookmarkEnd w:id="11"/>
    <w:bookmarkEnd w:id="12"/>
    <w:p>
      <w:pPr>
        <w:spacing w:before="0" w:beforeAutospacing="0" w:line="360" w:lineRule="auto"/>
        <w:ind w:firstLine="420"/>
        <w:rPr>
          <w:rFonts w:ascii="Times New Roman" w:hAnsi="Times New Roman"/>
          <w:kern w:val="0"/>
        </w:rPr>
      </w:pPr>
      <w:r>
        <w:rPr>
          <w:rFonts w:hint="eastAsia" w:ascii="Times New Roman" w:hAnsi="Times New Roman"/>
          <w:kern w:val="0"/>
        </w:rPr>
        <w:t>SL 219  水环境监测规范</w:t>
      </w:r>
    </w:p>
    <w:p>
      <w:pPr>
        <w:pStyle w:val="2"/>
        <w:numPr>
          <w:ilvl w:val="0"/>
          <w:numId w:val="1"/>
        </w:numPr>
        <w:spacing w:before="318" w:beforeLines="100" w:after="318" w:afterLines="100"/>
        <w:rPr>
          <w:rFonts w:ascii="Times New Roman" w:hAnsi="Times New Roman" w:eastAsia="黑体"/>
          <w:b w:val="0"/>
          <w:bCs/>
          <w:sz w:val="21"/>
        </w:rPr>
      </w:pPr>
      <w:bookmarkStart w:id="13" w:name="_Toc23404633"/>
      <w:bookmarkStart w:id="14" w:name="_Toc47358580"/>
      <w:bookmarkStart w:id="15" w:name="_Toc31315"/>
      <w:r>
        <w:rPr>
          <w:rFonts w:hint="eastAsia" w:ascii="Times New Roman" w:hAnsi="Times New Roman" w:eastAsia="黑体"/>
          <w:b w:val="0"/>
          <w:bCs/>
          <w:sz w:val="21"/>
        </w:rPr>
        <w:t xml:space="preserve"> 方法原理</w:t>
      </w:r>
      <w:bookmarkEnd w:id="13"/>
      <w:bookmarkEnd w:id="14"/>
      <w:bookmarkEnd w:id="15"/>
    </w:p>
    <w:p>
      <w:pPr>
        <w:spacing w:before="0" w:beforeAutospacing="0" w:line="360" w:lineRule="auto"/>
        <w:ind w:firstLine="420"/>
        <w:rPr>
          <w:rFonts w:ascii="Times New Roman" w:hAnsi="Times New Roman"/>
          <w:kern w:val="0"/>
        </w:rPr>
      </w:pPr>
      <w:r>
        <w:rPr>
          <w:rFonts w:hint="eastAsia" w:ascii="Times New Roman" w:hAnsi="Times New Roman"/>
          <w:kern w:val="0"/>
        </w:rPr>
        <w:t>水样经预处理后注入液相色谱，经色谱柱分离后，通过柱后衍生装置，目标物在碱性条件下发生水解反应，生成的甲胺与邻苯二甲醛和2-二甲氨基乙硫醇反应生成强荧光性的异吲哚类物质</w:t>
      </w:r>
      <w:r>
        <w:rPr>
          <w:rFonts w:ascii="Times New Roman" w:hAnsi="Times New Roman"/>
          <w:kern w:val="0"/>
        </w:rPr>
        <w:t>图</w:t>
      </w:r>
      <w:r>
        <w:rPr>
          <w:rFonts w:hint="eastAsia" w:ascii="Times New Roman" w:hAnsi="Times New Roman"/>
          <w:kern w:val="0"/>
        </w:rPr>
        <w:t>1所示，利用荧光检测器检测，以保留时间定性，峰面积外标法定量。</w:t>
      </w:r>
    </w:p>
    <w:p>
      <w:pPr>
        <w:spacing w:before="0" w:beforeAutospacing="0" w:line="360" w:lineRule="auto"/>
        <w:ind w:firstLine="420"/>
        <w:jc w:val="center"/>
        <w:rPr>
          <w:rFonts w:ascii="Times New Roman" w:hAnsi="Times New Roman"/>
          <w:kern w:val="0"/>
        </w:rPr>
      </w:pPr>
      <w:r>
        <w:rPr>
          <w:rFonts w:hint="eastAsia" w:ascii="Times New Roman" w:eastAsiaTheme="minorEastAsia"/>
        </w:rPr>
        <w:drawing>
          <wp:inline distT="0" distB="0" distL="0" distR="0">
            <wp:extent cx="3395980" cy="97980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2" cstate="print">
                      <a:extLst>
                        <a:ext uri="{28A0092B-C50C-407E-A947-70E740481C1C}">
                          <a14:useLocalDpi xmlns:a14="http://schemas.microsoft.com/office/drawing/2010/main" val="0"/>
                        </a:ext>
                      </a:extLst>
                    </a:blip>
                    <a:srcRect r="6526"/>
                    <a:stretch>
                      <a:fillRect/>
                    </a:stretch>
                  </pic:blipFill>
                  <pic:spPr>
                    <a:xfrm>
                      <a:off x="0" y="0"/>
                      <a:ext cx="3543617" cy="1022799"/>
                    </a:xfrm>
                    <a:prstGeom prst="rect">
                      <a:avLst/>
                    </a:prstGeom>
                    <a:ln>
                      <a:noFill/>
                    </a:ln>
                  </pic:spPr>
                </pic:pic>
              </a:graphicData>
            </a:graphic>
          </wp:inline>
        </w:drawing>
      </w:r>
    </w:p>
    <w:p>
      <w:pPr>
        <w:spacing w:before="159" w:beforeLines="50" w:beforeAutospacing="0" w:line="360" w:lineRule="auto"/>
        <w:ind w:firstLine="420"/>
        <w:jc w:val="center"/>
        <w:rPr>
          <w:rFonts w:ascii="Times New Roman" w:hAnsi="Times New Roman" w:eastAsia="黑体"/>
          <w:kern w:val="0"/>
        </w:rPr>
      </w:pPr>
      <w:r>
        <w:rPr>
          <w:rFonts w:hint="eastAsia" w:ascii="Times New Roman" w:hAnsi="Times New Roman" w:eastAsia="黑体"/>
          <w:kern w:val="0"/>
        </w:rPr>
        <w:t>图1 水解</w:t>
      </w:r>
      <w:r>
        <w:rPr>
          <w:rFonts w:ascii="Times New Roman" w:hAnsi="Times New Roman" w:eastAsia="黑体"/>
          <w:kern w:val="0"/>
        </w:rPr>
        <w:t>、</w:t>
      </w:r>
      <w:r>
        <w:rPr>
          <w:rFonts w:hint="eastAsia" w:ascii="Times New Roman" w:hAnsi="Times New Roman" w:eastAsia="黑体"/>
          <w:kern w:val="0"/>
        </w:rPr>
        <w:t>衍生化反应式图式</w:t>
      </w:r>
    </w:p>
    <w:p>
      <w:pPr>
        <w:pStyle w:val="2"/>
        <w:numPr>
          <w:ilvl w:val="0"/>
          <w:numId w:val="1"/>
        </w:numPr>
        <w:spacing w:before="318" w:beforeLines="100" w:after="318" w:afterLines="100"/>
        <w:rPr>
          <w:rFonts w:ascii="Times New Roman" w:hAnsi="Times New Roman" w:eastAsia="黑体"/>
          <w:b w:val="0"/>
          <w:bCs/>
          <w:sz w:val="21"/>
        </w:rPr>
      </w:pPr>
      <w:bookmarkStart w:id="16" w:name="_Toc47358581"/>
      <w:bookmarkStart w:id="17" w:name="_Toc23404634"/>
      <w:bookmarkStart w:id="18" w:name="_Toc2439"/>
      <w:r>
        <w:rPr>
          <w:rFonts w:hint="eastAsia" w:ascii="Times New Roman" w:hAnsi="Times New Roman" w:eastAsia="黑体"/>
          <w:b w:val="0"/>
          <w:bCs/>
          <w:sz w:val="21"/>
        </w:rPr>
        <w:t xml:space="preserve"> 试剂和材料</w:t>
      </w:r>
      <w:bookmarkEnd w:id="16"/>
      <w:bookmarkEnd w:id="17"/>
      <w:bookmarkEnd w:id="18"/>
    </w:p>
    <w:p>
      <w:pPr>
        <w:numPr>
          <w:ilvl w:val="0"/>
          <w:numId w:val="2"/>
        </w:numPr>
        <w:spacing w:before="0" w:beforeAutospacing="0" w:line="360" w:lineRule="auto"/>
        <w:ind w:hanging="5"/>
        <w:rPr>
          <w:rFonts w:ascii="Times New Roman" w:hAnsi="Times New Roman"/>
          <w:kern w:val="0"/>
        </w:rPr>
      </w:pPr>
      <w:bookmarkStart w:id="19" w:name="_Ref23347346"/>
      <w:bookmarkStart w:id="20" w:name="_Ref7362"/>
      <w:bookmarkStart w:id="21" w:name="_Ref12099"/>
      <w:r>
        <w:rPr>
          <w:rFonts w:hint="eastAsia" w:ascii="Times New Roman" w:hAnsi="Times New Roman"/>
          <w:kern w:val="0"/>
        </w:rPr>
        <w:t xml:space="preserve"> 应</w:t>
      </w:r>
      <w:r>
        <w:rPr>
          <w:rFonts w:ascii="Times New Roman" w:hAnsi="Times New Roman"/>
          <w:kern w:val="0"/>
        </w:rPr>
        <w:t>使用符合</w:t>
      </w:r>
      <w:r>
        <w:rPr>
          <w:rFonts w:hint="eastAsia" w:ascii="Times New Roman" w:hAnsi="Times New Roman"/>
          <w:kern w:val="0"/>
        </w:rPr>
        <w:t>相关</w:t>
      </w:r>
      <w:r>
        <w:rPr>
          <w:rFonts w:ascii="Times New Roman" w:hAnsi="Times New Roman"/>
          <w:kern w:val="0"/>
        </w:rPr>
        <w:t>标准的分析纯化学试剂，另有规定的除外。</w:t>
      </w:r>
      <w:r>
        <w:rPr>
          <w:rFonts w:hint="eastAsia" w:ascii="Times New Roman" w:hAnsi="Times New Roman"/>
          <w:kern w:val="0"/>
        </w:rPr>
        <w:t>实验用水应使用二次蒸馏水或纯水设备制备的水。使用前需经过空白检验，确认在目标化合物的保留时间区间内没有干扰色谱峰出现或其中的目标化合物浓度低于方法检出限。</w:t>
      </w:r>
      <w:bookmarkEnd w:id="19"/>
    </w:p>
    <w:bookmarkEnd w:id="20"/>
    <w:p>
      <w:pPr>
        <w:numPr>
          <w:ilvl w:val="0"/>
          <w:numId w:val="2"/>
        </w:numPr>
        <w:spacing w:before="0" w:beforeAutospacing="0" w:line="360" w:lineRule="auto"/>
        <w:ind w:hanging="5"/>
        <w:rPr>
          <w:rFonts w:ascii="Times New Roman" w:hAnsi="Times New Roman"/>
          <w:kern w:val="0"/>
        </w:rPr>
      </w:pPr>
      <w:bookmarkStart w:id="22" w:name="_Ref23346140"/>
      <w:r>
        <w:rPr>
          <w:rFonts w:hint="eastAsia" w:ascii="Times New Roman" w:hAnsi="Times New Roman"/>
          <w:kern w:val="0"/>
        </w:rPr>
        <w:t xml:space="preserve"> 硫酸（H</w:t>
      </w:r>
      <w:r>
        <w:rPr>
          <w:rFonts w:hint="eastAsia" w:ascii="Times New Roman" w:hAnsi="Times New Roman"/>
          <w:kern w:val="0"/>
          <w:vertAlign w:val="subscript"/>
        </w:rPr>
        <w:t>2</w:t>
      </w:r>
      <w:r>
        <w:rPr>
          <w:rFonts w:hint="eastAsia" w:ascii="Times New Roman" w:hAnsi="Times New Roman"/>
          <w:kern w:val="0"/>
        </w:rPr>
        <w:t>SO</w:t>
      </w:r>
      <w:r>
        <w:rPr>
          <w:rFonts w:hint="eastAsia" w:ascii="Times New Roman" w:hAnsi="Times New Roman"/>
          <w:kern w:val="0"/>
          <w:vertAlign w:val="subscript"/>
        </w:rPr>
        <w:t>4</w:t>
      </w:r>
      <w:r>
        <w:rPr>
          <w:rFonts w:hint="eastAsia" w:ascii="Times New Roman" w:hAnsi="Times New Roman"/>
          <w:kern w:val="0"/>
        </w:rPr>
        <w:t>）：</w:t>
      </w:r>
      <w:r>
        <w:rPr>
          <w:rFonts w:ascii="Times New Roman" w:hAnsi="Times New Roman"/>
          <w:kern w:val="0"/>
        </w:rPr>
        <w:t>ρ</w:t>
      </w:r>
      <w:r>
        <w:rPr>
          <w:rFonts w:hint="eastAsia" w:ascii="Times New Roman" w:hAnsi="Times New Roman"/>
          <w:kern w:val="0"/>
        </w:rPr>
        <w:t>=</w:t>
      </w:r>
      <w:r>
        <w:rPr>
          <w:rFonts w:ascii="Times New Roman" w:hAnsi="Times New Roman"/>
          <w:kern w:val="0"/>
        </w:rPr>
        <w:t>1.84 g/mL</w:t>
      </w:r>
      <w:bookmarkEnd w:id="22"/>
      <w:r>
        <w:rPr>
          <w:rFonts w:hint="eastAsia" w:ascii="Times New Roman" w:hAnsi="Times New Roman"/>
          <w:kern w:val="0"/>
        </w:rPr>
        <w:t>。</w:t>
      </w:r>
    </w:p>
    <w:bookmarkEnd w:id="21"/>
    <w:p>
      <w:pPr>
        <w:numPr>
          <w:ilvl w:val="0"/>
          <w:numId w:val="2"/>
        </w:numPr>
        <w:spacing w:before="0" w:beforeAutospacing="0" w:line="360" w:lineRule="auto"/>
        <w:ind w:hanging="5"/>
        <w:rPr>
          <w:rFonts w:ascii="Times New Roman" w:hAnsi="Times New Roman"/>
          <w:kern w:val="0"/>
        </w:rPr>
      </w:pPr>
      <w:bookmarkStart w:id="23" w:name="_Ref12827"/>
      <w:r>
        <w:rPr>
          <w:rFonts w:hint="eastAsia" w:ascii="Times New Roman" w:hAnsi="Times New Roman"/>
          <w:kern w:val="0"/>
        </w:rPr>
        <w:t xml:space="preserve"> 甲醇（CH</w:t>
      </w:r>
      <w:r>
        <w:rPr>
          <w:rFonts w:hint="eastAsia" w:ascii="Times New Roman" w:hAnsi="Times New Roman"/>
          <w:kern w:val="0"/>
          <w:vertAlign w:val="subscript"/>
        </w:rPr>
        <w:t>3</w:t>
      </w:r>
      <w:r>
        <w:rPr>
          <w:rFonts w:hint="eastAsia" w:ascii="Times New Roman" w:hAnsi="Times New Roman"/>
          <w:kern w:val="0"/>
        </w:rPr>
        <w:t>OH）：色谱纯。</w:t>
      </w:r>
      <w:bookmarkEnd w:id="23"/>
    </w:p>
    <w:p>
      <w:pPr>
        <w:numPr>
          <w:ilvl w:val="0"/>
          <w:numId w:val="2"/>
        </w:numPr>
        <w:spacing w:before="0" w:beforeAutospacing="0" w:line="360" w:lineRule="auto"/>
        <w:rPr>
          <w:rFonts w:ascii="Times New Roman" w:hAnsi="Times New Roman"/>
          <w:kern w:val="0"/>
        </w:rPr>
      </w:pPr>
      <w:bookmarkStart w:id="24" w:name="_Ref29080"/>
      <w:r>
        <w:rPr>
          <w:rFonts w:hint="eastAsia" w:ascii="Times New Roman" w:hAnsi="Times New Roman"/>
          <w:kern w:val="0"/>
        </w:rPr>
        <w:t xml:space="preserve"> 甲醇溶液：甲醇（</w:t>
      </w:r>
      <w:r>
        <w:rPr>
          <w:rFonts w:hint="eastAsia" w:ascii="Times New Roman" w:hAnsi="Times New Roman"/>
          <w:kern w:val="0"/>
        </w:rPr>
        <w:fldChar w:fldCharType="begin"/>
      </w:r>
      <w:r>
        <w:rPr>
          <w:rFonts w:hint="eastAsia" w:ascii="Times New Roman" w:hAnsi="Times New Roman"/>
          <w:kern w:val="0"/>
        </w:rPr>
        <w:instrText xml:space="preserve"> REF _Ref12827 \r </w:instrText>
      </w:r>
      <w:r>
        <w:rPr>
          <w:rFonts w:hint="eastAsia" w:ascii="Times New Roman" w:hAnsi="Times New Roman"/>
          <w:kern w:val="0"/>
        </w:rPr>
        <w:fldChar w:fldCharType="separate"/>
      </w:r>
      <w:r>
        <w:rPr>
          <w:rFonts w:ascii="Times New Roman" w:hAnsi="Times New Roman"/>
          <w:kern w:val="0"/>
        </w:rPr>
        <w:t>4.3</w:t>
      </w:r>
      <w:r>
        <w:rPr>
          <w:rFonts w:hint="eastAsia" w:ascii="Times New Roman" w:hAnsi="Times New Roman"/>
          <w:kern w:val="0"/>
        </w:rPr>
        <w:fldChar w:fldCharType="end"/>
      </w:r>
      <w:r>
        <w:rPr>
          <w:rFonts w:hint="eastAsia" w:ascii="Times New Roman" w:hAnsi="Times New Roman"/>
          <w:kern w:val="0"/>
        </w:rPr>
        <w:t>）和纯水以3：17的体积比混合。</w:t>
      </w:r>
      <w:bookmarkEnd w:id="24"/>
    </w:p>
    <w:p>
      <w:pPr>
        <w:numPr>
          <w:ilvl w:val="0"/>
          <w:numId w:val="2"/>
        </w:numPr>
        <w:spacing w:before="0" w:beforeAutospacing="0" w:line="360" w:lineRule="auto"/>
        <w:ind w:hanging="5"/>
        <w:rPr>
          <w:rFonts w:ascii="Times New Roman" w:hAnsi="Times New Roman"/>
          <w:kern w:val="0"/>
        </w:rPr>
      </w:pPr>
      <w:bookmarkStart w:id="25" w:name="_Ref3473"/>
      <w:r>
        <w:rPr>
          <w:rFonts w:hint="eastAsia" w:ascii="Times New Roman" w:hAnsi="Times New Roman"/>
          <w:kern w:val="0"/>
        </w:rPr>
        <w:t xml:space="preserve"> 氢氧化钠（NaOH）：优级纯。</w:t>
      </w:r>
      <w:bookmarkEnd w:id="25"/>
    </w:p>
    <w:p>
      <w:pPr>
        <w:numPr>
          <w:ilvl w:val="0"/>
          <w:numId w:val="2"/>
        </w:numPr>
        <w:spacing w:before="0" w:beforeAutospacing="0" w:line="360" w:lineRule="auto"/>
        <w:ind w:hanging="5"/>
        <w:rPr>
          <w:rFonts w:ascii="Times New Roman" w:hAnsi="Times New Roman"/>
          <w:kern w:val="0"/>
        </w:rPr>
      </w:pPr>
      <w:bookmarkStart w:id="26" w:name="_Ref3610"/>
      <w:r>
        <w:rPr>
          <w:rFonts w:hint="eastAsia" w:ascii="Times New Roman" w:hAnsi="Times New Roman"/>
          <w:kern w:val="0"/>
        </w:rPr>
        <w:t xml:space="preserve"> 聚丙烯酸钠[(C</w:t>
      </w:r>
      <w:r>
        <w:rPr>
          <w:rFonts w:hint="eastAsia" w:ascii="Times New Roman" w:hAnsi="Times New Roman"/>
          <w:kern w:val="0"/>
          <w:vertAlign w:val="subscript"/>
        </w:rPr>
        <w:t>3</w:t>
      </w:r>
      <w:r>
        <w:rPr>
          <w:rFonts w:hint="eastAsia" w:ascii="Times New Roman" w:hAnsi="Times New Roman"/>
          <w:kern w:val="0"/>
        </w:rPr>
        <w:t>H</w:t>
      </w:r>
      <w:r>
        <w:rPr>
          <w:rFonts w:hint="eastAsia" w:ascii="Times New Roman" w:hAnsi="Times New Roman"/>
          <w:kern w:val="0"/>
          <w:vertAlign w:val="subscript"/>
        </w:rPr>
        <w:t>3</w:t>
      </w:r>
      <w:r>
        <w:rPr>
          <w:rFonts w:hint="eastAsia" w:ascii="Times New Roman" w:hAnsi="Times New Roman"/>
          <w:kern w:val="0"/>
        </w:rPr>
        <w:t>NaO</w:t>
      </w:r>
      <w:r>
        <w:rPr>
          <w:rFonts w:hint="eastAsia" w:ascii="Times New Roman" w:hAnsi="Times New Roman"/>
          <w:kern w:val="0"/>
          <w:vertAlign w:val="subscript"/>
        </w:rPr>
        <w:t>2</w:t>
      </w:r>
      <w:r>
        <w:rPr>
          <w:rFonts w:hint="eastAsia" w:ascii="Times New Roman" w:hAnsi="Times New Roman"/>
          <w:kern w:val="0"/>
        </w:rPr>
        <w:t>)</w:t>
      </w:r>
      <w:r>
        <w:rPr>
          <w:rFonts w:hint="eastAsia" w:ascii="Times New Roman" w:hAnsi="Times New Roman"/>
          <w:kern w:val="0"/>
          <w:vertAlign w:val="subscript"/>
        </w:rPr>
        <w:t>n</w:t>
      </w:r>
      <w:r>
        <w:rPr>
          <w:rFonts w:hint="eastAsia" w:ascii="Times New Roman" w:hAnsi="Times New Roman"/>
          <w:kern w:val="0"/>
        </w:rPr>
        <w:t>]：分子量1500～3000。</w:t>
      </w:r>
      <w:bookmarkEnd w:id="26"/>
    </w:p>
    <w:p>
      <w:pPr>
        <w:numPr>
          <w:ilvl w:val="0"/>
          <w:numId w:val="2"/>
        </w:numPr>
        <w:spacing w:before="0" w:beforeAutospacing="0" w:line="360" w:lineRule="auto"/>
        <w:rPr>
          <w:rFonts w:ascii="Times New Roman" w:hAnsi="Times New Roman"/>
          <w:kern w:val="0"/>
        </w:rPr>
      </w:pPr>
      <w:bookmarkStart w:id="27" w:name="_Ref7832"/>
      <w:r>
        <w:rPr>
          <w:rFonts w:hint="eastAsia" w:ascii="Times New Roman" w:hAnsi="Times New Roman"/>
          <w:kern w:val="0"/>
        </w:rPr>
        <w:t xml:space="preserve"> 邻苯二甲醛（C</w:t>
      </w:r>
      <w:r>
        <w:rPr>
          <w:rFonts w:hint="eastAsia" w:ascii="Times New Roman" w:hAnsi="Times New Roman"/>
          <w:kern w:val="0"/>
          <w:vertAlign w:val="subscript"/>
        </w:rPr>
        <w:t>8</w:t>
      </w:r>
      <w:r>
        <w:rPr>
          <w:rFonts w:hint="eastAsia" w:ascii="Times New Roman" w:hAnsi="Times New Roman"/>
          <w:kern w:val="0"/>
        </w:rPr>
        <w:t>H</w:t>
      </w:r>
      <w:r>
        <w:rPr>
          <w:rFonts w:hint="eastAsia" w:ascii="Times New Roman" w:hAnsi="Times New Roman"/>
          <w:kern w:val="0"/>
          <w:vertAlign w:val="subscript"/>
        </w:rPr>
        <w:t>6</w:t>
      </w:r>
      <w:r>
        <w:rPr>
          <w:rFonts w:hint="eastAsia" w:ascii="Times New Roman" w:hAnsi="Times New Roman"/>
          <w:kern w:val="0"/>
        </w:rPr>
        <w:t>O</w:t>
      </w:r>
      <w:r>
        <w:rPr>
          <w:rFonts w:hint="eastAsia" w:ascii="Times New Roman" w:hAnsi="Times New Roman"/>
          <w:kern w:val="0"/>
          <w:vertAlign w:val="subscript"/>
        </w:rPr>
        <w:t>2</w:t>
      </w:r>
      <w:r>
        <w:rPr>
          <w:rFonts w:hint="eastAsia" w:ascii="Times New Roman" w:hAnsi="Times New Roman"/>
          <w:kern w:val="0"/>
        </w:rPr>
        <w:t>）：分析纯。</w:t>
      </w:r>
      <w:bookmarkEnd w:id="27"/>
    </w:p>
    <w:p>
      <w:pPr>
        <w:numPr>
          <w:ilvl w:val="0"/>
          <w:numId w:val="2"/>
        </w:numPr>
        <w:spacing w:before="0" w:beforeAutospacing="0" w:line="360" w:lineRule="auto"/>
        <w:rPr>
          <w:rFonts w:ascii="Times New Roman" w:hAnsi="Times New Roman"/>
          <w:kern w:val="0"/>
        </w:rPr>
      </w:pPr>
      <w:bookmarkStart w:id="28" w:name="_Ref7973"/>
      <w:r>
        <w:rPr>
          <w:rFonts w:ascii="Times New Roman" w:hAnsi="Times New Roman"/>
          <w:kern w:val="0"/>
        </w:rPr>
        <w:t xml:space="preserve"> </w:t>
      </w:r>
      <w:r>
        <w:rPr>
          <w:rFonts w:hint="eastAsia" w:ascii="Times New Roman" w:hAnsi="Times New Roman"/>
          <w:kern w:val="0"/>
        </w:rPr>
        <w:t>2-二甲胺基乙硫醇（C</w:t>
      </w:r>
      <w:r>
        <w:rPr>
          <w:rFonts w:hint="eastAsia" w:ascii="Times New Roman" w:hAnsi="Times New Roman"/>
          <w:kern w:val="0"/>
          <w:vertAlign w:val="subscript"/>
        </w:rPr>
        <w:t>4</w:t>
      </w:r>
      <w:r>
        <w:rPr>
          <w:rFonts w:hint="eastAsia" w:ascii="Times New Roman" w:hAnsi="Times New Roman"/>
          <w:kern w:val="0"/>
        </w:rPr>
        <w:t>H</w:t>
      </w:r>
      <w:r>
        <w:rPr>
          <w:rFonts w:hint="eastAsia" w:ascii="Times New Roman" w:hAnsi="Times New Roman"/>
          <w:kern w:val="0"/>
          <w:vertAlign w:val="subscript"/>
        </w:rPr>
        <w:t>11</w:t>
      </w:r>
      <w:r>
        <w:rPr>
          <w:rFonts w:hint="eastAsia" w:ascii="Times New Roman" w:hAnsi="Times New Roman"/>
          <w:kern w:val="0"/>
        </w:rPr>
        <w:t>NS）：分析纯。</w:t>
      </w:r>
      <w:bookmarkEnd w:id="28"/>
    </w:p>
    <w:p>
      <w:pPr>
        <w:numPr>
          <w:ilvl w:val="0"/>
          <w:numId w:val="2"/>
        </w:numPr>
        <w:spacing w:before="0" w:beforeAutospacing="0" w:line="360" w:lineRule="auto"/>
        <w:rPr>
          <w:rFonts w:ascii="Times New Roman" w:hAnsi="Times New Roman"/>
          <w:kern w:val="0"/>
        </w:rPr>
      </w:pPr>
      <w:bookmarkStart w:id="29" w:name="_Ref6477"/>
      <w:r>
        <w:rPr>
          <w:rFonts w:hint="eastAsia" w:ascii="Times New Roman" w:hAnsi="Times New Roman"/>
          <w:kern w:val="0"/>
        </w:rPr>
        <w:t xml:space="preserve"> 十水四硼酸钠（B</w:t>
      </w:r>
      <w:r>
        <w:rPr>
          <w:rFonts w:hint="eastAsia" w:ascii="Times New Roman" w:hAnsi="Times New Roman"/>
          <w:kern w:val="0"/>
          <w:vertAlign w:val="subscript"/>
        </w:rPr>
        <w:t>4</w:t>
      </w:r>
      <w:r>
        <w:rPr>
          <w:rFonts w:hint="eastAsia" w:ascii="Times New Roman" w:hAnsi="Times New Roman"/>
          <w:kern w:val="0"/>
        </w:rPr>
        <w:t>Na</w:t>
      </w:r>
      <w:r>
        <w:rPr>
          <w:rFonts w:hint="eastAsia" w:ascii="Times New Roman" w:hAnsi="Times New Roman"/>
          <w:kern w:val="0"/>
          <w:vertAlign w:val="subscript"/>
        </w:rPr>
        <w:t>2</w:t>
      </w:r>
      <w:r>
        <w:rPr>
          <w:rFonts w:hint="eastAsia" w:ascii="Times New Roman" w:hAnsi="Times New Roman"/>
          <w:kern w:val="0"/>
        </w:rPr>
        <w:t>O·10H</w:t>
      </w:r>
      <w:r>
        <w:rPr>
          <w:rFonts w:hint="eastAsia" w:ascii="Times New Roman" w:hAnsi="Times New Roman"/>
          <w:kern w:val="0"/>
          <w:vertAlign w:val="subscript"/>
        </w:rPr>
        <w:t>2</w:t>
      </w:r>
      <w:r>
        <w:rPr>
          <w:rFonts w:hint="eastAsia" w:ascii="Times New Roman" w:hAnsi="Times New Roman"/>
          <w:kern w:val="0"/>
        </w:rPr>
        <w:t>O）：优级纯。</w:t>
      </w:r>
      <w:bookmarkEnd w:id="29"/>
    </w:p>
    <w:p>
      <w:pPr>
        <w:numPr>
          <w:ilvl w:val="0"/>
          <w:numId w:val="2"/>
        </w:numPr>
        <w:spacing w:before="0" w:beforeAutospacing="0" w:line="360" w:lineRule="auto"/>
        <w:rPr>
          <w:rFonts w:ascii="Times New Roman" w:hAnsi="Times New Roman"/>
          <w:kern w:val="0"/>
        </w:rPr>
      </w:pPr>
      <w:bookmarkStart w:id="30" w:name="_Ref27271"/>
      <w:bookmarkStart w:id="31" w:name="_Ref11870"/>
      <w:r>
        <w:rPr>
          <w:rFonts w:hint="eastAsia" w:ascii="Times New Roman" w:hAnsi="Times New Roman"/>
          <w:kern w:val="0"/>
        </w:rPr>
        <w:t xml:space="preserve"> 涕灭威（C</w:t>
      </w:r>
      <w:r>
        <w:rPr>
          <w:rFonts w:hint="eastAsia" w:ascii="Times New Roman" w:hAnsi="Times New Roman"/>
          <w:kern w:val="0"/>
          <w:vertAlign w:val="subscript"/>
        </w:rPr>
        <w:t>7</w:t>
      </w:r>
      <w:r>
        <w:rPr>
          <w:rFonts w:hint="eastAsia" w:ascii="Times New Roman" w:hAnsi="Times New Roman"/>
          <w:kern w:val="0"/>
        </w:rPr>
        <w:t>H</w:t>
      </w:r>
      <w:r>
        <w:rPr>
          <w:rFonts w:hint="eastAsia" w:ascii="Times New Roman" w:hAnsi="Times New Roman"/>
          <w:kern w:val="0"/>
          <w:vertAlign w:val="subscript"/>
        </w:rPr>
        <w:t>14</w:t>
      </w:r>
      <w:r>
        <w:rPr>
          <w:rFonts w:hint="eastAsia" w:ascii="Times New Roman" w:hAnsi="Times New Roman"/>
          <w:kern w:val="0"/>
        </w:rPr>
        <w:t>N</w:t>
      </w:r>
      <w:r>
        <w:rPr>
          <w:rFonts w:hint="eastAsia" w:ascii="Times New Roman" w:hAnsi="Times New Roman"/>
          <w:kern w:val="0"/>
          <w:vertAlign w:val="subscript"/>
        </w:rPr>
        <w:t>2</w:t>
      </w:r>
      <w:r>
        <w:rPr>
          <w:rFonts w:hint="eastAsia" w:ascii="Times New Roman" w:hAnsi="Times New Roman"/>
          <w:kern w:val="0"/>
        </w:rPr>
        <w:t>O</w:t>
      </w:r>
      <w:r>
        <w:rPr>
          <w:rFonts w:hint="eastAsia" w:ascii="Times New Roman" w:hAnsi="Times New Roman"/>
          <w:kern w:val="0"/>
          <w:vertAlign w:val="subscript"/>
        </w:rPr>
        <w:t>2</w:t>
      </w:r>
      <w:r>
        <w:rPr>
          <w:rFonts w:hint="eastAsia" w:ascii="Times New Roman" w:hAnsi="Times New Roman"/>
          <w:kern w:val="0"/>
        </w:rPr>
        <w:t>S）：纯度≥98%。</w:t>
      </w:r>
      <w:bookmarkEnd w:id="30"/>
    </w:p>
    <w:p>
      <w:pPr>
        <w:numPr>
          <w:ilvl w:val="0"/>
          <w:numId w:val="2"/>
        </w:numPr>
        <w:spacing w:before="0" w:beforeAutospacing="0" w:line="360" w:lineRule="auto"/>
        <w:rPr>
          <w:rFonts w:ascii="Times New Roman" w:hAnsi="Times New Roman"/>
          <w:kern w:val="0"/>
        </w:rPr>
      </w:pPr>
      <w:bookmarkStart w:id="32" w:name="_Ref12977"/>
      <w:r>
        <w:rPr>
          <w:rFonts w:hint="eastAsia" w:ascii="Times New Roman" w:hAnsi="Times New Roman"/>
          <w:kern w:val="0"/>
        </w:rPr>
        <w:t xml:space="preserve"> 克百威（C</w:t>
      </w:r>
      <w:r>
        <w:rPr>
          <w:rFonts w:hint="eastAsia" w:ascii="Times New Roman" w:hAnsi="Times New Roman"/>
          <w:kern w:val="0"/>
          <w:vertAlign w:val="subscript"/>
        </w:rPr>
        <w:t>12</w:t>
      </w:r>
      <w:r>
        <w:rPr>
          <w:rFonts w:hint="eastAsia" w:ascii="Times New Roman" w:hAnsi="Times New Roman"/>
          <w:kern w:val="0"/>
        </w:rPr>
        <w:t>H</w:t>
      </w:r>
      <w:r>
        <w:rPr>
          <w:rFonts w:hint="eastAsia" w:ascii="Times New Roman" w:hAnsi="Times New Roman"/>
          <w:kern w:val="0"/>
          <w:vertAlign w:val="subscript"/>
        </w:rPr>
        <w:t>15</w:t>
      </w:r>
      <w:r>
        <w:rPr>
          <w:rFonts w:hint="eastAsia" w:ascii="Times New Roman" w:hAnsi="Times New Roman"/>
          <w:kern w:val="0"/>
        </w:rPr>
        <w:t>NO</w:t>
      </w:r>
      <w:r>
        <w:rPr>
          <w:rFonts w:hint="eastAsia" w:ascii="Times New Roman" w:hAnsi="Times New Roman"/>
          <w:kern w:val="0"/>
          <w:vertAlign w:val="subscript"/>
        </w:rPr>
        <w:t>3</w:t>
      </w:r>
      <w:r>
        <w:rPr>
          <w:rFonts w:hint="eastAsia" w:ascii="Times New Roman" w:hAnsi="Times New Roman"/>
          <w:kern w:val="0"/>
        </w:rPr>
        <w:t>）：纯度≥98%。</w:t>
      </w:r>
      <w:bookmarkEnd w:id="32"/>
    </w:p>
    <w:p>
      <w:pPr>
        <w:numPr>
          <w:ilvl w:val="0"/>
          <w:numId w:val="2"/>
        </w:numPr>
        <w:spacing w:before="0" w:beforeAutospacing="0" w:line="360" w:lineRule="auto"/>
        <w:rPr>
          <w:rFonts w:ascii="Times New Roman" w:hAnsi="Times New Roman"/>
          <w:kern w:val="0"/>
        </w:rPr>
      </w:pPr>
      <w:bookmarkStart w:id="33" w:name="_Ref23346649"/>
      <w:r>
        <w:rPr>
          <w:rFonts w:hint="eastAsia" w:ascii="Times New Roman" w:hAnsi="Times New Roman"/>
          <w:kern w:val="0"/>
        </w:rPr>
        <w:t xml:space="preserve"> 甲萘威（C</w:t>
      </w:r>
      <w:r>
        <w:rPr>
          <w:rFonts w:hint="eastAsia" w:ascii="Times New Roman" w:hAnsi="Times New Roman"/>
          <w:kern w:val="0"/>
          <w:vertAlign w:val="subscript"/>
        </w:rPr>
        <w:t>12</w:t>
      </w:r>
      <w:r>
        <w:rPr>
          <w:rFonts w:hint="eastAsia" w:ascii="Times New Roman" w:hAnsi="Times New Roman"/>
          <w:kern w:val="0"/>
        </w:rPr>
        <w:t>H</w:t>
      </w:r>
      <w:r>
        <w:rPr>
          <w:rFonts w:hint="eastAsia" w:ascii="Times New Roman" w:hAnsi="Times New Roman"/>
          <w:kern w:val="0"/>
          <w:vertAlign w:val="subscript"/>
        </w:rPr>
        <w:t>11</w:t>
      </w:r>
      <w:r>
        <w:rPr>
          <w:rFonts w:hint="eastAsia" w:ascii="Times New Roman" w:hAnsi="Times New Roman"/>
          <w:kern w:val="0"/>
        </w:rPr>
        <w:t>NO</w:t>
      </w:r>
      <w:r>
        <w:rPr>
          <w:rFonts w:hint="eastAsia" w:ascii="Times New Roman" w:hAnsi="Times New Roman"/>
          <w:kern w:val="0"/>
          <w:vertAlign w:val="subscript"/>
        </w:rPr>
        <w:t>2</w:t>
      </w:r>
      <w:r>
        <w:rPr>
          <w:rFonts w:hint="eastAsia" w:ascii="Times New Roman" w:hAnsi="Times New Roman"/>
          <w:kern w:val="0"/>
        </w:rPr>
        <w:t>）：纯度≥98%。</w:t>
      </w:r>
      <w:bookmarkEnd w:id="31"/>
      <w:bookmarkEnd w:id="33"/>
    </w:p>
    <w:p>
      <w:pPr>
        <w:numPr>
          <w:ilvl w:val="0"/>
          <w:numId w:val="2"/>
        </w:numPr>
        <w:spacing w:before="0" w:beforeAutospacing="0" w:line="360" w:lineRule="auto"/>
        <w:rPr>
          <w:rFonts w:ascii="Times New Roman" w:hAnsi="Times New Roman"/>
          <w:kern w:val="0"/>
        </w:rPr>
      </w:pPr>
      <w:bookmarkStart w:id="34" w:name="_Ref23346821"/>
      <w:r>
        <w:rPr>
          <w:rFonts w:hint="eastAsia" w:ascii="Times New Roman" w:hAnsi="Times New Roman"/>
          <w:kern w:val="0"/>
        </w:rPr>
        <w:t xml:space="preserve"> 硫酸溶液（1：1）</w:t>
      </w:r>
      <w:r>
        <w:rPr>
          <w:rFonts w:ascii="Times New Roman" w:hAnsi="Times New Roman"/>
          <w:kern w:val="0"/>
        </w:rPr>
        <w:t>：</w:t>
      </w:r>
      <w:r>
        <w:rPr>
          <w:rFonts w:hint="eastAsia" w:ascii="Times New Roman" w:hAnsi="Times New Roman"/>
          <w:kern w:val="0"/>
        </w:rPr>
        <w:t>量取50</w:t>
      </w:r>
      <w:r>
        <w:rPr>
          <w:rFonts w:ascii="Times New Roman" w:hAnsi="Times New Roman"/>
          <w:kern w:val="0"/>
        </w:rPr>
        <w:t xml:space="preserve"> mL</w:t>
      </w:r>
      <w:r>
        <w:rPr>
          <w:rFonts w:hint="eastAsia" w:ascii="Times New Roman" w:hAnsi="Times New Roman"/>
          <w:kern w:val="0"/>
        </w:rPr>
        <w:t>硫酸（</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_Ref23346140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4.2</w:t>
      </w:r>
      <w:r>
        <w:rPr>
          <w:rFonts w:ascii="Times New Roman" w:hAnsi="Times New Roman"/>
          <w:kern w:val="0"/>
        </w:rPr>
        <w:fldChar w:fldCharType="end"/>
      </w:r>
      <w:r>
        <w:rPr>
          <w:rFonts w:hint="eastAsia" w:ascii="Times New Roman" w:hAnsi="Times New Roman"/>
          <w:kern w:val="0"/>
        </w:rPr>
        <w:t>），缓慢加入</w:t>
      </w:r>
      <w:r>
        <w:rPr>
          <w:rFonts w:ascii="Times New Roman" w:hAnsi="Times New Roman"/>
          <w:kern w:val="0"/>
        </w:rPr>
        <w:t>到</w:t>
      </w:r>
      <w:r>
        <w:rPr>
          <w:rFonts w:hint="eastAsia" w:ascii="Times New Roman" w:hAnsi="Times New Roman"/>
          <w:kern w:val="0"/>
        </w:rPr>
        <w:t>50</w:t>
      </w:r>
      <w:r>
        <w:rPr>
          <w:rFonts w:ascii="Times New Roman" w:hAnsi="Times New Roman"/>
          <w:kern w:val="0"/>
        </w:rPr>
        <w:t xml:space="preserve"> mL水中。</w:t>
      </w:r>
      <w:bookmarkEnd w:id="34"/>
    </w:p>
    <w:p>
      <w:pPr>
        <w:numPr>
          <w:ilvl w:val="0"/>
          <w:numId w:val="2"/>
        </w:numPr>
        <w:spacing w:before="0" w:beforeAutospacing="0" w:line="360" w:lineRule="auto"/>
        <w:rPr>
          <w:rFonts w:ascii="Times New Roman" w:hAnsi="Times New Roman"/>
          <w:kern w:val="0"/>
        </w:rPr>
      </w:pPr>
      <w:bookmarkStart w:id="35" w:name="_Ref23346839"/>
      <w:r>
        <w:rPr>
          <w:rFonts w:hint="eastAsia" w:ascii="Times New Roman" w:hAnsi="Times New Roman"/>
          <w:kern w:val="0"/>
        </w:rPr>
        <w:t xml:space="preserve"> 氢氧化钠溶液（0.4</w:t>
      </w:r>
      <w:r>
        <w:rPr>
          <w:rFonts w:ascii="Times New Roman" w:hAnsi="Times New Roman"/>
          <w:kern w:val="0"/>
        </w:rPr>
        <w:t xml:space="preserve"> g/mL</w:t>
      </w:r>
      <w:r>
        <w:rPr>
          <w:rFonts w:hint="eastAsia" w:ascii="Times New Roman" w:hAnsi="Times New Roman"/>
          <w:kern w:val="0"/>
        </w:rPr>
        <w:t>）</w:t>
      </w:r>
      <w:r>
        <w:rPr>
          <w:rFonts w:ascii="Times New Roman" w:hAnsi="Times New Roman"/>
          <w:kern w:val="0"/>
        </w:rPr>
        <w:t>：</w:t>
      </w:r>
      <w:r>
        <w:rPr>
          <w:rFonts w:hint="eastAsia" w:ascii="Times New Roman" w:hAnsi="Times New Roman"/>
          <w:kern w:val="0"/>
        </w:rPr>
        <w:t>称取40</w:t>
      </w:r>
      <w:r>
        <w:rPr>
          <w:rFonts w:ascii="Times New Roman" w:hAnsi="Times New Roman"/>
          <w:kern w:val="0"/>
        </w:rPr>
        <w:t xml:space="preserve"> g氢氧化钠（</w:t>
      </w:r>
      <w:r>
        <w:rPr>
          <w:rFonts w:ascii="Times New Roman" w:hAnsi="Times New Roman"/>
          <w:kern w:val="0"/>
        </w:rPr>
        <w:fldChar w:fldCharType="begin"/>
      </w:r>
      <w:r>
        <w:rPr>
          <w:rFonts w:ascii="Times New Roman" w:hAnsi="Times New Roman"/>
          <w:kern w:val="0"/>
        </w:rPr>
        <w:instrText xml:space="preserve"> REF _Ref3473 \r \h </w:instrText>
      </w:r>
      <w:r>
        <w:rPr>
          <w:rFonts w:ascii="Times New Roman" w:hAnsi="Times New Roman"/>
          <w:kern w:val="0"/>
        </w:rPr>
        <w:fldChar w:fldCharType="separate"/>
      </w:r>
      <w:r>
        <w:rPr>
          <w:rFonts w:ascii="Times New Roman" w:hAnsi="Times New Roman"/>
          <w:kern w:val="0"/>
        </w:rPr>
        <w:t>4.5</w:t>
      </w:r>
      <w:r>
        <w:rPr>
          <w:rFonts w:ascii="Times New Roman" w:hAnsi="Times New Roman"/>
          <w:kern w:val="0"/>
        </w:rPr>
        <w:fldChar w:fldCharType="end"/>
      </w:r>
      <w:r>
        <w:rPr>
          <w:rFonts w:ascii="Times New Roman" w:hAnsi="Times New Roman"/>
          <w:kern w:val="0"/>
        </w:rPr>
        <w:t>）</w:t>
      </w:r>
      <w:r>
        <w:rPr>
          <w:rFonts w:hint="eastAsia" w:ascii="Times New Roman" w:hAnsi="Times New Roman"/>
          <w:kern w:val="0"/>
        </w:rPr>
        <w:t>溶于</w:t>
      </w:r>
      <w:r>
        <w:rPr>
          <w:rFonts w:ascii="Times New Roman" w:hAnsi="Times New Roman"/>
          <w:kern w:val="0"/>
        </w:rPr>
        <w:t>水中，定容至</w:t>
      </w:r>
      <w:r>
        <w:rPr>
          <w:rFonts w:hint="eastAsia" w:ascii="Times New Roman" w:hAnsi="Times New Roman"/>
          <w:kern w:val="0"/>
        </w:rPr>
        <w:t>100</w:t>
      </w:r>
      <w:r>
        <w:rPr>
          <w:rFonts w:ascii="Times New Roman" w:hAnsi="Times New Roman"/>
          <w:kern w:val="0"/>
        </w:rPr>
        <w:t xml:space="preserve"> mL。</w:t>
      </w:r>
      <w:bookmarkEnd w:id="35"/>
    </w:p>
    <w:p>
      <w:pPr>
        <w:numPr>
          <w:ilvl w:val="0"/>
          <w:numId w:val="2"/>
        </w:numPr>
        <w:spacing w:before="0" w:beforeAutospacing="0" w:line="360" w:lineRule="auto"/>
        <w:rPr>
          <w:rFonts w:ascii="Times New Roman" w:hAnsi="Times New Roman"/>
          <w:kern w:val="0"/>
        </w:rPr>
      </w:pPr>
      <w:bookmarkStart w:id="36" w:name="_Ref6863"/>
      <w:r>
        <w:rPr>
          <w:rFonts w:hint="eastAsia" w:ascii="Times New Roman" w:hAnsi="Times New Roman"/>
          <w:kern w:val="0"/>
        </w:rPr>
        <w:t xml:space="preserve"> 四硼酸钠溶液：称取7.6</w:t>
      </w:r>
      <w:r>
        <w:rPr>
          <w:rFonts w:ascii="Times New Roman" w:hAnsi="Times New Roman"/>
          <w:kern w:val="0"/>
        </w:rPr>
        <w:t xml:space="preserve"> </w:t>
      </w:r>
      <w:r>
        <w:rPr>
          <w:rFonts w:hint="eastAsia" w:ascii="Times New Roman" w:hAnsi="Times New Roman"/>
          <w:kern w:val="0"/>
        </w:rPr>
        <w:t>g十水四硼酸钠（</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_Ref6477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4.9</w:t>
      </w:r>
      <w:r>
        <w:rPr>
          <w:rFonts w:ascii="Times New Roman" w:hAnsi="Times New Roman"/>
          <w:kern w:val="0"/>
        </w:rPr>
        <w:fldChar w:fldCharType="end"/>
      </w:r>
      <w:r>
        <w:rPr>
          <w:rFonts w:hint="eastAsia" w:ascii="Times New Roman" w:hAnsi="Times New Roman"/>
          <w:kern w:val="0"/>
        </w:rPr>
        <w:t>）溶于800</w:t>
      </w:r>
      <w:r>
        <w:rPr>
          <w:rFonts w:ascii="Times New Roman" w:hAnsi="Times New Roman"/>
          <w:kern w:val="0"/>
        </w:rPr>
        <w:t xml:space="preserve"> </w:t>
      </w:r>
      <w:r>
        <w:rPr>
          <w:rFonts w:hint="eastAsia" w:ascii="Times New Roman" w:hAnsi="Times New Roman"/>
          <w:kern w:val="0"/>
        </w:rPr>
        <w:t>mL水中，用水定容至1000</w:t>
      </w:r>
      <w:r>
        <w:rPr>
          <w:rFonts w:ascii="Times New Roman" w:hAnsi="Times New Roman"/>
          <w:kern w:val="0"/>
        </w:rPr>
        <w:t xml:space="preserve"> </w:t>
      </w:r>
      <w:r>
        <w:rPr>
          <w:rFonts w:hint="eastAsia" w:ascii="Times New Roman" w:hAnsi="Times New Roman"/>
          <w:kern w:val="0"/>
        </w:rPr>
        <w:t>mL。</w:t>
      </w:r>
      <w:bookmarkEnd w:id="36"/>
    </w:p>
    <w:p>
      <w:pPr>
        <w:numPr>
          <w:ilvl w:val="0"/>
          <w:numId w:val="2"/>
        </w:numPr>
        <w:spacing w:before="0" w:beforeAutospacing="0" w:line="360" w:lineRule="auto"/>
        <w:rPr>
          <w:rFonts w:ascii="Times New Roman" w:hAnsi="Times New Roman"/>
          <w:kern w:val="0"/>
        </w:rPr>
      </w:pPr>
      <w:bookmarkStart w:id="37" w:name="_Ref47358874"/>
      <w:r>
        <w:rPr>
          <w:rFonts w:hint="eastAsia" w:ascii="Times New Roman" w:hAnsi="Times New Roman"/>
          <w:kern w:val="0"/>
        </w:rPr>
        <w:t xml:space="preserve"> 水解试剂：称取2.0</w:t>
      </w:r>
      <w:r>
        <w:rPr>
          <w:rFonts w:ascii="Times New Roman" w:hAnsi="Times New Roman"/>
          <w:kern w:val="0"/>
        </w:rPr>
        <w:t xml:space="preserve"> </w:t>
      </w:r>
      <w:r>
        <w:rPr>
          <w:rFonts w:hint="eastAsia" w:ascii="Times New Roman" w:hAnsi="Times New Roman"/>
          <w:kern w:val="0"/>
        </w:rPr>
        <w:t>g氢氧化钠（</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_Ref3473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4.5</w:t>
      </w:r>
      <w:r>
        <w:rPr>
          <w:rFonts w:ascii="Times New Roman" w:hAnsi="Times New Roman"/>
          <w:kern w:val="0"/>
        </w:rPr>
        <w:fldChar w:fldCharType="end"/>
      </w:r>
      <w:r>
        <w:rPr>
          <w:rFonts w:hint="eastAsia" w:ascii="Times New Roman" w:hAnsi="Times New Roman"/>
          <w:kern w:val="0"/>
        </w:rPr>
        <w:t>）溶于800</w:t>
      </w:r>
      <w:r>
        <w:rPr>
          <w:rFonts w:ascii="Times New Roman" w:hAnsi="Times New Roman"/>
          <w:kern w:val="0"/>
        </w:rPr>
        <w:t xml:space="preserve"> </w:t>
      </w:r>
      <w:r>
        <w:rPr>
          <w:rFonts w:hint="eastAsia" w:ascii="Times New Roman" w:hAnsi="Times New Roman"/>
          <w:kern w:val="0"/>
        </w:rPr>
        <w:t>mL水中，再缓缓加入0.5</w:t>
      </w:r>
      <w:r>
        <w:rPr>
          <w:rFonts w:ascii="Times New Roman" w:hAnsi="Times New Roman"/>
          <w:kern w:val="0"/>
        </w:rPr>
        <w:t xml:space="preserve"> </w:t>
      </w:r>
      <w:r>
        <w:rPr>
          <w:rFonts w:hint="eastAsia" w:ascii="Times New Roman" w:hAnsi="Times New Roman"/>
          <w:kern w:val="0"/>
        </w:rPr>
        <w:t>g聚丙烯酸钠（</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_Ref3610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4.6</w:t>
      </w:r>
      <w:r>
        <w:rPr>
          <w:rFonts w:ascii="Times New Roman" w:hAnsi="Times New Roman"/>
          <w:kern w:val="0"/>
        </w:rPr>
        <w:fldChar w:fldCharType="end"/>
      </w:r>
      <w:r>
        <w:rPr>
          <w:rFonts w:hint="eastAsia" w:ascii="Times New Roman" w:hAnsi="Times New Roman"/>
          <w:kern w:val="0"/>
        </w:rPr>
        <w:t>），轻轻搅拌使其溶解，用水定容至1000</w:t>
      </w:r>
      <w:r>
        <w:rPr>
          <w:rFonts w:ascii="Times New Roman" w:hAnsi="Times New Roman"/>
          <w:kern w:val="0"/>
        </w:rPr>
        <w:t xml:space="preserve"> </w:t>
      </w:r>
      <w:r>
        <w:rPr>
          <w:rFonts w:hint="eastAsia" w:ascii="Times New Roman" w:hAnsi="Times New Roman"/>
          <w:kern w:val="0"/>
        </w:rPr>
        <w:t>mL。该溶液使用前需用微孔滤膜（</w:t>
      </w:r>
      <w:r>
        <w:rPr>
          <w:rFonts w:hint="eastAsia" w:ascii="Times New Roman" w:hAnsi="Times New Roman"/>
          <w:kern w:val="0"/>
        </w:rPr>
        <w:fldChar w:fldCharType="begin"/>
      </w:r>
      <w:r>
        <w:rPr>
          <w:rFonts w:hint="eastAsia" w:ascii="Times New Roman" w:hAnsi="Times New Roman"/>
          <w:kern w:val="0"/>
        </w:rPr>
        <w:instrText xml:space="preserve"> REF _Ref22550 \w \h </w:instrText>
      </w:r>
      <w:r>
        <w:rPr>
          <w:rFonts w:hint="eastAsia" w:ascii="Times New Roman" w:hAnsi="Times New Roman"/>
          <w:kern w:val="0"/>
        </w:rPr>
        <w:fldChar w:fldCharType="separate"/>
      </w:r>
      <w:r>
        <w:rPr>
          <w:rFonts w:ascii="Times New Roman" w:hAnsi="Times New Roman"/>
          <w:kern w:val="0"/>
        </w:rPr>
        <w:t>4.23</w:t>
      </w:r>
      <w:r>
        <w:rPr>
          <w:rFonts w:hint="eastAsia" w:ascii="Times New Roman" w:hAnsi="Times New Roman"/>
          <w:kern w:val="0"/>
        </w:rPr>
        <w:fldChar w:fldCharType="end"/>
      </w:r>
      <w:r>
        <w:rPr>
          <w:rFonts w:hint="eastAsia" w:ascii="Times New Roman" w:hAnsi="Times New Roman"/>
          <w:kern w:val="0"/>
        </w:rPr>
        <w:t>）过滤，并用氮气脱气或在线脱气。</w:t>
      </w:r>
      <w:bookmarkEnd w:id="37"/>
    </w:p>
    <w:p>
      <w:pPr>
        <w:numPr>
          <w:ilvl w:val="0"/>
          <w:numId w:val="2"/>
        </w:numPr>
        <w:spacing w:before="0" w:beforeAutospacing="0" w:line="360" w:lineRule="auto"/>
        <w:rPr>
          <w:rFonts w:ascii="Times New Roman" w:hAnsi="Times New Roman"/>
          <w:kern w:val="0"/>
        </w:rPr>
      </w:pPr>
      <w:bookmarkStart w:id="38" w:name="_Ref47358887"/>
      <w:r>
        <w:rPr>
          <w:rFonts w:hint="eastAsia" w:ascii="Times New Roman" w:hAnsi="Times New Roman"/>
          <w:kern w:val="0"/>
        </w:rPr>
        <w:t xml:space="preserve"> 反应试剂：称取0.10</w:t>
      </w:r>
      <w:r>
        <w:rPr>
          <w:rFonts w:ascii="Times New Roman" w:hAnsi="Times New Roman"/>
          <w:kern w:val="0"/>
        </w:rPr>
        <w:t xml:space="preserve"> </w:t>
      </w:r>
      <w:r>
        <w:rPr>
          <w:rFonts w:hint="eastAsia" w:ascii="Times New Roman" w:hAnsi="Times New Roman"/>
          <w:kern w:val="0"/>
        </w:rPr>
        <w:t>g邻苯二甲醛（</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_Ref7832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4.7</w:t>
      </w:r>
      <w:r>
        <w:rPr>
          <w:rFonts w:ascii="Times New Roman" w:hAnsi="Times New Roman"/>
          <w:kern w:val="0"/>
        </w:rPr>
        <w:fldChar w:fldCharType="end"/>
      </w:r>
      <w:r>
        <w:rPr>
          <w:rFonts w:hint="eastAsia" w:ascii="Times New Roman" w:hAnsi="Times New Roman"/>
          <w:kern w:val="0"/>
        </w:rPr>
        <w:t>）溶于10</w:t>
      </w:r>
      <w:r>
        <w:rPr>
          <w:rFonts w:ascii="Times New Roman" w:hAnsi="Times New Roman"/>
          <w:kern w:val="0"/>
        </w:rPr>
        <w:t xml:space="preserve"> </w:t>
      </w:r>
      <w:r>
        <w:rPr>
          <w:rFonts w:hint="eastAsia" w:ascii="Times New Roman" w:hAnsi="Times New Roman"/>
          <w:kern w:val="0"/>
        </w:rPr>
        <w:t>mL甲醇（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）中，再将其加入1000</w:t>
      </w:r>
      <w:r>
        <w:rPr>
          <w:rFonts w:ascii="Times New Roman" w:hAnsi="Times New Roman"/>
          <w:kern w:val="0"/>
        </w:rPr>
        <w:t xml:space="preserve"> </w:t>
      </w:r>
      <w:r>
        <w:rPr>
          <w:rFonts w:hint="eastAsia" w:ascii="Times New Roman" w:hAnsi="Times New Roman"/>
          <w:kern w:val="0"/>
        </w:rPr>
        <w:t>mL四硼酸钠溶液（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_Ref6863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4.15</w:t>
      </w:r>
      <w:r>
        <w:rPr>
          <w:rFonts w:ascii="Times New Roman" w:hAnsi="Times New Roman"/>
          <w:kern w:val="0"/>
        </w:rPr>
        <w:fldChar w:fldCharType="end"/>
      </w:r>
      <w:r>
        <w:rPr>
          <w:rFonts w:hint="eastAsia" w:ascii="Times New Roman" w:hAnsi="Times New Roman"/>
          <w:kern w:val="0"/>
        </w:rPr>
        <w:t>）中，混合均匀后用微孔滤膜（</w:t>
      </w:r>
      <w:r>
        <w:rPr>
          <w:rFonts w:hint="eastAsia" w:ascii="Times New Roman" w:hAnsi="Times New Roman"/>
          <w:kern w:val="0"/>
        </w:rPr>
        <w:fldChar w:fldCharType="begin"/>
      </w:r>
      <w:r>
        <w:rPr>
          <w:rFonts w:hint="eastAsia" w:ascii="Times New Roman" w:hAnsi="Times New Roman"/>
          <w:kern w:val="0"/>
        </w:rPr>
        <w:instrText xml:space="preserve"> REF _Ref22550 \w \h </w:instrText>
      </w:r>
      <w:r>
        <w:rPr>
          <w:rFonts w:hint="eastAsia" w:ascii="Times New Roman" w:hAnsi="Times New Roman"/>
          <w:kern w:val="0"/>
        </w:rPr>
        <w:fldChar w:fldCharType="separate"/>
      </w:r>
      <w:r>
        <w:rPr>
          <w:rFonts w:ascii="Times New Roman" w:hAnsi="Times New Roman"/>
          <w:kern w:val="0"/>
        </w:rPr>
        <w:t>4.23</w:t>
      </w:r>
      <w:r>
        <w:rPr>
          <w:rFonts w:hint="eastAsia" w:ascii="Times New Roman" w:hAnsi="Times New Roman"/>
          <w:kern w:val="0"/>
        </w:rPr>
        <w:fldChar w:fldCharType="end"/>
      </w:r>
      <w:r>
        <w:rPr>
          <w:rFonts w:hint="eastAsia" w:ascii="Times New Roman" w:hAnsi="Times New Roman"/>
          <w:kern w:val="0"/>
        </w:rPr>
        <w:t>）过滤，用氮气脱气或在线脱气，再加入2.0</w:t>
      </w:r>
      <w:r>
        <w:rPr>
          <w:rFonts w:ascii="Times New Roman" w:hAnsi="Times New Roman"/>
          <w:kern w:val="0"/>
        </w:rPr>
        <w:t xml:space="preserve"> </w:t>
      </w:r>
      <w:r>
        <w:rPr>
          <w:rFonts w:hint="eastAsia" w:ascii="Times New Roman" w:hAnsi="Times New Roman"/>
          <w:kern w:val="0"/>
        </w:rPr>
        <w:t>g 2-二甲胺基乙硫醇（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_Ref7973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4.8</w:t>
      </w:r>
      <w:r>
        <w:rPr>
          <w:rFonts w:ascii="Times New Roman" w:hAnsi="Times New Roman"/>
          <w:kern w:val="0"/>
        </w:rPr>
        <w:fldChar w:fldCharType="end"/>
      </w:r>
      <w:r>
        <w:rPr>
          <w:rFonts w:hint="eastAsia" w:ascii="Times New Roman" w:hAnsi="Times New Roman"/>
          <w:kern w:val="0"/>
        </w:rPr>
        <w:t>），混匀。使用氮气储存，该溶液可保存3</w:t>
      </w:r>
      <w:r>
        <w:rPr>
          <w:rFonts w:ascii="Times New Roman" w:hAnsi="Times New Roman"/>
          <w:kern w:val="0"/>
        </w:rPr>
        <w:t xml:space="preserve"> </w:t>
      </w:r>
      <w:r>
        <w:rPr>
          <w:rFonts w:hint="eastAsia" w:ascii="Times New Roman" w:hAnsi="Times New Roman"/>
          <w:kern w:val="0"/>
        </w:rPr>
        <w:t>d。</w:t>
      </w:r>
      <w:bookmarkEnd w:id="38"/>
    </w:p>
    <w:p>
      <w:pPr>
        <w:numPr>
          <w:ilvl w:val="0"/>
          <w:numId w:val="2"/>
        </w:numPr>
        <w:spacing w:before="0" w:beforeAutospacing="0" w:line="360" w:lineRule="auto"/>
        <w:rPr>
          <w:rFonts w:ascii="Times New Roman" w:hAnsi="Times New Roman"/>
          <w:kern w:val="0"/>
        </w:rPr>
      </w:pPr>
      <w:bookmarkStart w:id="39" w:name="_Ref28815"/>
      <w:bookmarkStart w:id="40" w:name="_Ref23346666"/>
      <w:bookmarkStart w:id="41" w:name="_Ref28665"/>
      <w:r>
        <w:rPr>
          <w:rFonts w:hint="eastAsia" w:ascii="Times New Roman" w:hAnsi="Times New Roman"/>
          <w:kern w:val="0"/>
        </w:rPr>
        <w:t xml:space="preserve"> 涕灭威标准贮备液（1000.0</w:t>
      </w:r>
      <w:r>
        <w:rPr>
          <w:rFonts w:ascii="Times New Roman" w:hAnsi="Times New Roman"/>
          <w:kern w:val="0"/>
        </w:rPr>
        <w:t xml:space="preserve"> </w:t>
      </w:r>
      <w:r>
        <w:rPr>
          <w:rFonts w:hint="eastAsia" w:ascii="Times New Roman" w:hAnsi="Times New Roman"/>
          <w:kern w:val="0"/>
        </w:rPr>
        <w:t>mg/L）：准确称取0.0500</w:t>
      </w:r>
      <w:r>
        <w:rPr>
          <w:rFonts w:ascii="Times New Roman" w:hAnsi="Times New Roman"/>
          <w:kern w:val="0"/>
        </w:rPr>
        <w:t xml:space="preserve"> </w:t>
      </w:r>
      <w:r>
        <w:rPr>
          <w:rFonts w:hint="eastAsia" w:ascii="Times New Roman" w:hAnsi="Times New Roman"/>
          <w:kern w:val="0"/>
        </w:rPr>
        <w:t>g涕灭威（</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_Ref27271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4.10</w:t>
      </w:r>
      <w:r>
        <w:rPr>
          <w:rFonts w:ascii="Times New Roman" w:hAnsi="Times New Roman"/>
          <w:kern w:val="0"/>
        </w:rPr>
        <w:fldChar w:fldCharType="end"/>
      </w:r>
      <w:r>
        <w:rPr>
          <w:rFonts w:hint="eastAsia" w:ascii="Times New Roman" w:hAnsi="Times New Roman"/>
          <w:kern w:val="0"/>
        </w:rPr>
        <w:t>），用少量甲醇（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）溶解后转移入50</w:t>
      </w:r>
      <w:r>
        <w:rPr>
          <w:rFonts w:ascii="Times New Roman" w:hAnsi="Times New Roman"/>
          <w:kern w:val="0"/>
        </w:rPr>
        <w:t xml:space="preserve"> </w:t>
      </w:r>
      <w:r>
        <w:rPr>
          <w:rFonts w:hint="eastAsia" w:ascii="Times New Roman" w:hAnsi="Times New Roman"/>
          <w:kern w:val="0"/>
        </w:rPr>
        <w:t>mL容量瓶中，用甲醇（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）定容，密封存储于棕色玻璃样品瓶中。4℃避光保存，可保存6个月。</w:t>
      </w:r>
      <w:bookmarkEnd w:id="39"/>
      <w:r>
        <w:rPr>
          <w:rFonts w:hint="eastAsia" w:ascii="Times New Roman" w:hAnsi="Times New Roman"/>
          <w:kern w:val="0"/>
        </w:rPr>
        <w:t>也可购买有证标准物质。</w:t>
      </w:r>
      <w:bookmarkEnd w:id="40"/>
    </w:p>
    <w:p>
      <w:pPr>
        <w:numPr>
          <w:ilvl w:val="0"/>
          <w:numId w:val="2"/>
        </w:numPr>
        <w:spacing w:before="0" w:beforeAutospacing="0" w:line="360" w:lineRule="auto"/>
        <w:rPr>
          <w:rFonts w:ascii="Times New Roman" w:hAnsi="Times New Roman"/>
          <w:kern w:val="0"/>
        </w:rPr>
      </w:pPr>
      <w:bookmarkStart w:id="42" w:name="_Ref28763"/>
      <w:bookmarkStart w:id="43" w:name="_Ref23346677"/>
      <w:r>
        <w:rPr>
          <w:rFonts w:hint="eastAsia" w:ascii="Times New Roman" w:hAnsi="Times New Roman"/>
          <w:kern w:val="0"/>
        </w:rPr>
        <w:t xml:space="preserve"> 克百威标准贮备液（1000.0</w:t>
      </w:r>
      <w:r>
        <w:rPr>
          <w:rFonts w:ascii="Times New Roman" w:hAnsi="Times New Roman"/>
          <w:kern w:val="0"/>
        </w:rPr>
        <w:t xml:space="preserve"> </w:t>
      </w:r>
      <w:r>
        <w:rPr>
          <w:rFonts w:hint="eastAsia" w:ascii="Times New Roman" w:hAnsi="Times New Roman"/>
          <w:kern w:val="0"/>
        </w:rPr>
        <w:t>mg/L）：准确称取0.0500</w:t>
      </w:r>
      <w:r>
        <w:rPr>
          <w:rFonts w:ascii="Times New Roman" w:hAnsi="Times New Roman"/>
          <w:kern w:val="0"/>
        </w:rPr>
        <w:t xml:space="preserve"> </w:t>
      </w:r>
      <w:r>
        <w:rPr>
          <w:rFonts w:hint="eastAsia" w:ascii="Times New Roman" w:hAnsi="Times New Roman"/>
          <w:kern w:val="0"/>
        </w:rPr>
        <w:t>g克百威（</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_Ref12977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4.11</w:t>
      </w:r>
      <w:r>
        <w:rPr>
          <w:rFonts w:ascii="Times New Roman" w:hAnsi="Times New Roman"/>
          <w:kern w:val="0"/>
        </w:rPr>
        <w:fldChar w:fldCharType="end"/>
      </w:r>
      <w:r>
        <w:rPr>
          <w:rFonts w:hint="eastAsia" w:ascii="Times New Roman" w:hAnsi="Times New Roman"/>
          <w:kern w:val="0"/>
        </w:rPr>
        <w:t>），用少量甲醇（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）溶解后转移入50</w:t>
      </w:r>
      <w:r>
        <w:rPr>
          <w:rFonts w:ascii="Times New Roman" w:hAnsi="Times New Roman"/>
          <w:kern w:val="0"/>
        </w:rPr>
        <w:t xml:space="preserve"> </w:t>
      </w:r>
      <w:r>
        <w:rPr>
          <w:rFonts w:hint="eastAsia" w:ascii="Times New Roman" w:hAnsi="Times New Roman"/>
          <w:kern w:val="0"/>
        </w:rPr>
        <w:t>mL容量瓶中，用甲醇（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）定容，密封存储于棕色玻璃样品瓶中。4℃避光保存，可保存6个月。</w:t>
      </w:r>
      <w:bookmarkEnd w:id="42"/>
      <w:r>
        <w:rPr>
          <w:rFonts w:hint="eastAsia" w:ascii="Times New Roman" w:hAnsi="Times New Roman"/>
          <w:kern w:val="0"/>
        </w:rPr>
        <w:t>也可购买有证标准物质。</w:t>
      </w:r>
      <w:bookmarkEnd w:id="43"/>
    </w:p>
    <w:p>
      <w:pPr>
        <w:numPr>
          <w:ilvl w:val="0"/>
          <w:numId w:val="2"/>
        </w:numPr>
        <w:spacing w:before="0" w:beforeAutospacing="0" w:line="360" w:lineRule="auto"/>
        <w:rPr>
          <w:rFonts w:ascii="Times New Roman" w:hAnsi="Times New Roman"/>
          <w:kern w:val="0"/>
        </w:rPr>
      </w:pPr>
      <w:bookmarkStart w:id="44" w:name="_Ref23346686"/>
      <w:r>
        <w:rPr>
          <w:rFonts w:hint="eastAsia" w:ascii="Times New Roman" w:hAnsi="Times New Roman"/>
          <w:kern w:val="0"/>
        </w:rPr>
        <w:t xml:space="preserve"> 甲萘威标准贮备液（1000.0</w:t>
      </w:r>
      <w:r>
        <w:rPr>
          <w:rFonts w:ascii="Times New Roman" w:hAnsi="Times New Roman"/>
          <w:kern w:val="0"/>
        </w:rPr>
        <w:t xml:space="preserve"> </w:t>
      </w:r>
      <w:r>
        <w:rPr>
          <w:rFonts w:hint="eastAsia" w:ascii="Times New Roman" w:hAnsi="Times New Roman"/>
          <w:kern w:val="0"/>
        </w:rPr>
        <w:t>mg/L）：准确称取0.0500</w:t>
      </w:r>
      <w:r>
        <w:rPr>
          <w:rFonts w:ascii="Times New Roman" w:hAnsi="Times New Roman"/>
          <w:kern w:val="0"/>
        </w:rPr>
        <w:t xml:space="preserve"> </w:t>
      </w:r>
      <w:r>
        <w:rPr>
          <w:rFonts w:hint="eastAsia" w:ascii="Times New Roman" w:hAnsi="Times New Roman"/>
          <w:kern w:val="0"/>
        </w:rPr>
        <w:t>g甲萘威（</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_Ref23346649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4.12</w:t>
      </w:r>
      <w:r>
        <w:rPr>
          <w:rFonts w:ascii="Times New Roman" w:hAnsi="Times New Roman"/>
          <w:kern w:val="0"/>
        </w:rPr>
        <w:fldChar w:fldCharType="end"/>
      </w:r>
      <w:r>
        <w:rPr>
          <w:rFonts w:hint="eastAsia" w:ascii="Times New Roman" w:hAnsi="Times New Roman"/>
          <w:kern w:val="0"/>
        </w:rPr>
        <w:t>），用少量甲醇（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）溶解后转移入50</w:t>
      </w:r>
      <w:r>
        <w:rPr>
          <w:rFonts w:ascii="Times New Roman" w:hAnsi="Times New Roman"/>
          <w:kern w:val="0"/>
        </w:rPr>
        <w:t xml:space="preserve"> </w:t>
      </w:r>
      <w:r>
        <w:rPr>
          <w:rFonts w:hint="eastAsia" w:ascii="Times New Roman" w:hAnsi="Times New Roman"/>
          <w:kern w:val="0"/>
        </w:rPr>
        <w:t>mL容量瓶中，用甲醇（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）定容，密封存储于棕色玻璃样品瓶中。4℃避光保存，可保存6个月。</w:t>
      </w:r>
      <w:bookmarkEnd w:id="41"/>
      <w:r>
        <w:rPr>
          <w:rFonts w:hint="eastAsia" w:ascii="Times New Roman" w:hAnsi="Times New Roman"/>
          <w:kern w:val="0"/>
        </w:rPr>
        <w:t>也可购买有证标准物质。</w:t>
      </w:r>
      <w:bookmarkEnd w:id="44"/>
    </w:p>
    <w:p>
      <w:pPr>
        <w:numPr>
          <w:ilvl w:val="0"/>
          <w:numId w:val="2"/>
        </w:numPr>
        <w:spacing w:before="0" w:beforeAutospacing="0" w:line="360" w:lineRule="auto"/>
        <w:rPr>
          <w:rFonts w:ascii="Times New Roman" w:hAnsi="Times New Roman"/>
          <w:kern w:val="0"/>
        </w:rPr>
      </w:pPr>
      <w:bookmarkStart w:id="45" w:name="_Ref30105"/>
      <w:r>
        <w:rPr>
          <w:rFonts w:hint="eastAsia" w:ascii="Times New Roman" w:hAnsi="Times New Roman"/>
          <w:kern w:val="0"/>
        </w:rPr>
        <w:t xml:space="preserve"> 涕灭威、克百威、甲萘威混合标准中间液（10.0</w:t>
      </w:r>
      <w:r>
        <w:rPr>
          <w:rFonts w:ascii="Times New Roman" w:hAnsi="Times New Roman"/>
          <w:kern w:val="0"/>
        </w:rPr>
        <w:t xml:space="preserve"> </w:t>
      </w:r>
      <w:r>
        <w:rPr>
          <w:rFonts w:hint="eastAsia" w:ascii="Times New Roman" w:hAnsi="Times New Roman"/>
          <w:kern w:val="0"/>
        </w:rPr>
        <w:t>mg/L）：移取涕灭威标准贮备液（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_Ref23346666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4.18</w:t>
      </w:r>
      <w:r>
        <w:rPr>
          <w:rFonts w:ascii="Times New Roman" w:hAnsi="Times New Roman"/>
          <w:kern w:val="0"/>
        </w:rPr>
        <w:fldChar w:fldCharType="end"/>
      </w:r>
      <w:r>
        <w:rPr>
          <w:rFonts w:hint="eastAsia" w:ascii="Times New Roman" w:hAnsi="Times New Roman"/>
          <w:kern w:val="0"/>
        </w:rPr>
        <w:t>）、克百威标准贮备液（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_Ref23346677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4.19</w:t>
      </w:r>
      <w:r>
        <w:rPr>
          <w:rFonts w:ascii="Times New Roman" w:hAnsi="Times New Roman"/>
          <w:kern w:val="0"/>
        </w:rPr>
        <w:fldChar w:fldCharType="end"/>
      </w:r>
      <w:r>
        <w:rPr>
          <w:rFonts w:hint="eastAsia" w:ascii="Times New Roman" w:hAnsi="Times New Roman"/>
          <w:kern w:val="0"/>
        </w:rPr>
        <w:t>）、甲萘威准贮备液（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_Ref23346686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4.20</w:t>
      </w:r>
      <w:r>
        <w:rPr>
          <w:rFonts w:ascii="Times New Roman" w:hAnsi="Times New Roman"/>
          <w:kern w:val="0"/>
        </w:rPr>
        <w:fldChar w:fldCharType="end"/>
      </w:r>
      <w:r>
        <w:rPr>
          <w:rFonts w:hint="eastAsia" w:ascii="Times New Roman" w:hAnsi="Times New Roman"/>
          <w:kern w:val="0"/>
        </w:rPr>
        <w:t>）各1.00</w:t>
      </w:r>
      <w:r>
        <w:rPr>
          <w:rFonts w:ascii="Times New Roman" w:hAnsi="Times New Roman"/>
          <w:kern w:val="0"/>
        </w:rPr>
        <w:t xml:space="preserve"> </w:t>
      </w:r>
      <w:r>
        <w:rPr>
          <w:rFonts w:hint="eastAsia" w:ascii="Times New Roman" w:hAnsi="Times New Roman"/>
          <w:kern w:val="0"/>
        </w:rPr>
        <w:t>mL于100</w:t>
      </w:r>
      <w:r>
        <w:rPr>
          <w:rFonts w:ascii="Times New Roman" w:hAnsi="Times New Roman"/>
          <w:kern w:val="0"/>
        </w:rPr>
        <w:t xml:space="preserve"> </w:t>
      </w:r>
      <w:r>
        <w:rPr>
          <w:rFonts w:hint="eastAsia" w:ascii="Times New Roman" w:hAnsi="Times New Roman"/>
          <w:kern w:val="0"/>
        </w:rPr>
        <w:t>mL容量瓶中，用甲醇溶液（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_Ref29080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4.4</w:t>
      </w:r>
      <w:r>
        <w:rPr>
          <w:rFonts w:ascii="Times New Roman" w:hAnsi="Times New Roman"/>
          <w:kern w:val="0"/>
        </w:rPr>
        <w:fldChar w:fldCharType="end"/>
      </w:r>
      <w:r>
        <w:rPr>
          <w:rFonts w:hint="eastAsia" w:ascii="Times New Roman" w:hAnsi="Times New Roman"/>
          <w:kern w:val="0"/>
        </w:rPr>
        <w:t>）定容。</w:t>
      </w:r>
      <w:bookmarkEnd w:id="45"/>
    </w:p>
    <w:p>
      <w:pPr>
        <w:numPr>
          <w:ilvl w:val="0"/>
          <w:numId w:val="2"/>
        </w:numPr>
        <w:spacing w:before="0" w:beforeAutospacing="0" w:line="360" w:lineRule="auto"/>
        <w:rPr>
          <w:rFonts w:ascii="Times New Roman" w:hAnsi="Times New Roman"/>
          <w:kern w:val="0"/>
        </w:rPr>
      </w:pPr>
      <w:bookmarkStart w:id="46" w:name="_Ref20693"/>
      <w:r>
        <w:rPr>
          <w:rFonts w:hint="eastAsia" w:ascii="Times New Roman" w:hAnsi="Times New Roman"/>
          <w:kern w:val="0"/>
        </w:rPr>
        <w:t xml:space="preserve"> 涕灭威、克百威、甲萘威混合标准使用液（100</w:t>
      </w:r>
      <w:r>
        <w:rPr>
          <w:rFonts w:ascii="Times New Roman" w:hAnsi="Times New Roman"/>
          <w:kern w:val="0"/>
        </w:rPr>
        <w:t xml:space="preserve"> </w:t>
      </w:r>
      <w:r>
        <w:rPr>
          <w:rFonts w:hint="eastAsia" w:ascii="Times New Roman" w:hAnsi="Times New Roman"/>
          <w:kern w:val="0"/>
        </w:rPr>
        <w:t>µg/L）：移取1.00</w:t>
      </w:r>
      <w:r>
        <w:rPr>
          <w:rFonts w:ascii="Times New Roman" w:hAnsi="Times New Roman"/>
          <w:kern w:val="0"/>
        </w:rPr>
        <w:t xml:space="preserve"> </w:t>
      </w:r>
      <w:r>
        <w:rPr>
          <w:rFonts w:hint="eastAsia" w:ascii="Times New Roman" w:hAnsi="Times New Roman"/>
          <w:kern w:val="0"/>
        </w:rPr>
        <w:t>mL甲萘威、克百威、涕灭威混合标准中间液（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_Ref30105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4.21</w:t>
      </w:r>
      <w:r>
        <w:rPr>
          <w:rFonts w:ascii="Times New Roman" w:hAnsi="Times New Roman"/>
          <w:kern w:val="0"/>
        </w:rPr>
        <w:fldChar w:fldCharType="end"/>
      </w:r>
      <w:r>
        <w:rPr>
          <w:rFonts w:hint="eastAsia" w:ascii="Times New Roman" w:hAnsi="Times New Roman"/>
          <w:kern w:val="0"/>
        </w:rPr>
        <w:t>）于100</w:t>
      </w:r>
      <w:r>
        <w:rPr>
          <w:rFonts w:ascii="Times New Roman" w:hAnsi="Times New Roman"/>
          <w:kern w:val="0"/>
        </w:rPr>
        <w:t xml:space="preserve"> </w:t>
      </w:r>
      <w:r>
        <w:rPr>
          <w:rFonts w:hint="eastAsia" w:ascii="Times New Roman" w:hAnsi="Times New Roman"/>
          <w:kern w:val="0"/>
        </w:rPr>
        <w:t>mL容量瓶中，用甲醇溶液（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_Ref29080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4.4</w:t>
      </w:r>
      <w:r>
        <w:rPr>
          <w:rFonts w:ascii="Times New Roman" w:hAnsi="Times New Roman"/>
          <w:kern w:val="0"/>
        </w:rPr>
        <w:fldChar w:fldCharType="end"/>
      </w:r>
      <w:r>
        <w:rPr>
          <w:rFonts w:hint="eastAsia" w:ascii="Times New Roman" w:hAnsi="Times New Roman"/>
          <w:kern w:val="0"/>
        </w:rPr>
        <w:t>）定容。</w:t>
      </w:r>
      <w:bookmarkEnd w:id="46"/>
    </w:p>
    <w:p>
      <w:pPr>
        <w:numPr>
          <w:ilvl w:val="0"/>
          <w:numId w:val="2"/>
        </w:numPr>
        <w:spacing w:before="0" w:beforeAutospacing="0" w:line="360" w:lineRule="auto"/>
        <w:ind w:hanging="5"/>
        <w:rPr>
          <w:rFonts w:ascii="Times New Roman" w:hAnsi="Times New Roman"/>
          <w:kern w:val="0"/>
        </w:rPr>
      </w:pPr>
      <w:bookmarkStart w:id="47" w:name="_Ref22550"/>
      <w:r>
        <w:rPr>
          <w:rFonts w:hint="eastAsia" w:ascii="Times New Roman" w:hAnsi="Times New Roman"/>
          <w:kern w:val="0"/>
        </w:rPr>
        <w:t xml:space="preserve"> 微孔滤膜：尼龙滤膜，孔径0.45</w:t>
      </w:r>
      <w:r>
        <w:rPr>
          <w:rFonts w:ascii="Times New Roman" w:hAnsi="Times New Roman"/>
          <w:kern w:val="0"/>
        </w:rPr>
        <w:t xml:space="preserve"> μ</w:t>
      </w:r>
      <w:r>
        <w:rPr>
          <w:rFonts w:hint="eastAsia" w:ascii="Times New Roman" w:hAnsi="Times New Roman"/>
          <w:kern w:val="0"/>
        </w:rPr>
        <w:t>m。</w:t>
      </w:r>
      <w:bookmarkEnd w:id="47"/>
    </w:p>
    <w:p>
      <w:pPr>
        <w:numPr>
          <w:ilvl w:val="0"/>
          <w:numId w:val="2"/>
        </w:numPr>
        <w:spacing w:before="0" w:beforeAutospacing="0" w:line="360" w:lineRule="auto"/>
        <w:rPr>
          <w:rFonts w:ascii="Times New Roman" w:hAnsi="Times New Roman"/>
          <w:kern w:val="0"/>
        </w:rPr>
      </w:pPr>
      <w:bookmarkStart w:id="48" w:name="_Ref23967"/>
      <w:r>
        <w:rPr>
          <w:rFonts w:hint="eastAsia" w:ascii="Times New Roman" w:hAnsi="Times New Roman"/>
          <w:kern w:val="0"/>
        </w:rPr>
        <w:t xml:space="preserve"> 固相萃取柱：填料为以二乙烯苯和N-乙烯基吡咯烷酮为单体的聚合物或等效类型填料或组合型填料，500</w:t>
      </w:r>
      <w:r>
        <w:rPr>
          <w:rFonts w:ascii="Times New Roman" w:hAnsi="Times New Roman"/>
          <w:kern w:val="0"/>
        </w:rPr>
        <w:t xml:space="preserve"> </w:t>
      </w:r>
      <w:r>
        <w:rPr>
          <w:rFonts w:hint="eastAsia" w:ascii="Times New Roman" w:hAnsi="Times New Roman"/>
          <w:kern w:val="0"/>
        </w:rPr>
        <w:t>mg/6mL，可购买。或固相萃取盘等具有同等萃取性能的物品。</w:t>
      </w:r>
      <w:bookmarkEnd w:id="48"/>
    </w:p>
    <w:p>
      <w:pPr>
        <w:numPr>
          <w:ilvl w:val="0"/>
          <w:numId w:val="2"/>
        </w:numPr>
        <w:spacing w:before="0" w:beforeAutospacing="0" w:line="360" w:lineRule="auto"/>
        <w:rPr>
          <w:rFonts w:ascii="Times New Roman" w:hAnsi="Times New Roman"/>
          <w:kern w:val="0"/>
        </w:rPr>
      </w:pPr>
      <w:r>
        <w:rPr>
          <w:rFonts w:hint="eastAsia" w:ascii="Times New Roman" w:hAnsi="Times New Roman"/>
          <w:kern w:val="0"/>
        </w:rPr>
        <w:t xml:space="preserve"> 氮气：纯度≥99.999%。</w:t>
      </w:r>
    </w:p>
    <w:p>
      <w:pPr>
        <w:pStyle w:val="2"/>
        <w:numPr>
          <w:ilvl w:val="0"/>
          <w:numId w:val="1"/>
        </w:numPr>
        <w:spacing w:before="318" w:beforeLines="100" w:after="318" w:afterLines="100"/>
        <w:rPr>
          <w:rFonts w:ascii="Times New Roman" w:hAnsi="Times New Roman" w:eastAsia="黑体"/>
          <w:b w:val="0"/>
          <w:bCs/>
          <w:sz w:val="21"/>
        </w:rPr>
      </w:pPr>
      <w:bookmarkStart w:id="49" w:name="_Toc23404635"/>
      <w:bookmarkStart w:id="50" w:name="_Toc14294"/>
      <w:bookmarkStart w:id="51" w:name="_Toc47358582"/>
      <w:r>
        <w:rPr>
          <w:rFonts w:hint="eastAsia" w:ascii="Times New Roman" w:hAnsi="Times New Roman" w:eastAsia="黑体"/>
          <w:b w:val="0"/>
          <w:bCs/>
          <w:sz w:val="21"/>
        </w:rPr>
        <w:t>仪器和设备</w:t>
      </w:r>
      <w:bookmarkEnd w:id="49"/>
      <w:bookmarkEnd w:id="50"/>
      <w:bookmarkEnd w:id="51"/>
    </w:p>
    <w:p>
      <w:pPr>
        <w:numPr>
          <w:ilvl w:val="0"/>
          <w:numId w:val="3"/>
        </w:numPr>
        <w:spacing w:before="0" w:beforeAutospacing="0" w:line="360" w:lineRule="auto"/>
        <w:rPr>
          <w:rFonts w:ascii="Times New Roman" w:hAnsi="Times New Roman"/>
          <w:kern w:val="0"/>
        </w:rPr>
      </w:pPr>
      <w:r>
        <w:rPr>
          <w:rFonts w:hint="eastAsia" w:ascii="Times New Roman" w:hAnsi="Times New Roman"/>
          <w:kern w:val="0"/>
        </w:rPr>
        <w:t xml:space="preserve"> 液相色谱仪：可梯度淋洗，配荧光检测器。</w:t>
      </w:r>
    </w:p>
    <w:p>
      <w:pPr>
        <w:numPr>
          <w:ilvl w:val="0"/>
          <w:numId w:val="3"/>
        </w:numPr>
        <w:spacing w:before="0" w:beforeAutospacing="0" w:line="360" w:lineRule="auto"/>
        <w:rPr>
          <w:rFonts w:ascii="Times New Roman" w:hAnsi="Times New Roman"/>
          <w:kern w:val="0"/>
        </w:rPr>
      </w:pPr>
      <w:r>
        <w:rPr>
          <w:rFonts w:ascii="Times New Roman" w:hAnsi="Times New Roman"/>
          <w:kern w:val="0"/>
        </w:rPr>
        <w:t xml:space="preserve"> </w:t>
      </w:r>
      <w:r>
        <w:rPr>
          <w:rFonts w:hint="eastAsia" w:ascii="Times New Roman" w:hAnsi="Times New Roman"/>
          <w:kern w:val="0"/>
        </w:rPr>
        <w:t>柱后衍生仪。</w:t>
      </w:r>
    </w:p>
    <w:p>
      <w:pPr>
        <w:numPr>
          <w:ilvl w:val="0"/>
          <w:numId w:val="3"/>
        </w:numPr>
        <w:spacing w:before="0" w:beforeAutospacing="0" w:line="360" w:lineRule="auto"/>
        <w:rPr>
          <w:rFonts w:ascii="Times New Roman" w:hAnsi="Times New Roman"/>
          <w:kern w:val="0"/>
        </w:rPr>
      </w:pPr>
      <w:r>
        <w:rPr>
          <w:rFonts w:hint="eastAsia" w:ascii="Times New Roman" w:hAnsi="Times New Roman"/>
          <w:kern w:val="0"/>
        </w:rPr>
        <w:t xml:space="preserve"> 色谱柱：C18柱，柱长150</w:t>
      </w:r>
      <w:r>
        <w:rPr>
          <w:rFonts w:ascii="Times New Roman" w:hAnsi="Times New Roman"/>
          <w:kern w:val="0"/>
        </w:rPr>
        <w:t xml:space="preserve"> </w:t>
      </w:r>
      <w:r>
        <w:rPr>
          <w:rFonts w:hint="eastAsia" w:ascii="Times New Roman" w:hAnsi="Times New Roman"/>
          <w:kern w:val="0"/>
        </w:rPr>
        <w:t>mm，内径4.6</w:t>
      </w:r>
      <w:r>
        <w:rPr>
          <w:rFonts w:ascii="Times New Roman" w:hAnsi="Times New Roman"/>
          <w:kern w:val="0"/>
        </w:rPr>
        <w:t xml:space="preserve"> </w:t>
      </w:r>
      <w:r>
        <w:rPr>
          <w:rFonts w:hint="eastAsia" w:ascii="Times New Roman" w:hAnsi="Times New Roman"/>
          <w:kern w:val="0"/>
        </w:rPr>
        <w:t>mm，填料粒径5</w:t>
      </w:r>
      <w:r>
        <w:rPr>
          <w:rFonts w:ascii="Times New Roman" w:hAnsi="Times New Roman"/>
          <w:kern w:val="0"/>
        </w:rPr>
        <w:t xml:space="preserve"> μ</w:t>
      </w:r>
      <w:r>
        <w:rPr>
          <w:rFonts w:hint="eastAsia" w:ascii="Times New Roman" w:hAnsi="Times New Roman"/>
          <w:kern w:val="0"/>
        </w:rPr>
        <w:t>m。</w:t>
      </w:r>
    </w:p>
    <w:p>
      <w:pPr>
        <w:numPr>
          <w:ilvl w:val="0"/>
          <w:numId w:val="3"/>
        </w:numPr>
        <w:spacing w:before="0" w:beforeAutospacing="0" w:line="360" w:lineRule="auto"/>
        <w:rPr>
          <w:rFonts w:ascii="Times New Roman" w:hAnsi="Times New Roman"/>
          <w:kern w:val="0"/>
        </w:rPr>
      </w:pPr>
      <w:r>
        <w:rPr>
          <w:rFonts w:ascii="Times New Roman" w:hAnsi="Times New Roman"/>
          <w:kern w:val="0"/>
        </w:rPr>
        <w:t xml:space="preserve"> </w:t>
      </w:r>
      <w:r>
        <w:rPr>
          <w:rFonts w:hint="eastAsia" w:ascii="Times New Roman" w:hAnsi="Times New Roman"/>
          <w:kern w:val="0"/>
        </w:rPr>
        <w:t>电子天平：精度为0.1</w:t>
      </w:r>
      <w:r>
        <w:rPr>
          <w:rFonts w:ascii="Times New Roman" w:hAnsi="Times New Roman"/>
          <w:kern w:val="0"/>
        </w:rPr>
        <w:t xml:space="preserve"> </w:t>
      </w:r>
      <w:r>
        <w:rPr>
          <w:rFonts w:hint="eastAsia" w:ascii="Times New Roman" w:hAnsi="Times New Roman"/>
          <w:kern w:val="0"/>
        </w:rPr>
        <w:t>mg。</w:t>
      </w:r>
    </w:p>
    <w:p>
      <w:pPr>
        <w:numPr>
          <w:ilvl w:val="0"/>
          <w:numId w:val="3"/>
        </w:numPr>
        <w:spacing w:before="0" w:beforeAutospacing="0" w:line="360" w:lineRule="auto"/>
        <w:rPr>
          <w:rFonts w:ascii="Times New Roman" w:hAnsi="Times New Roman"/>
          <w:kern w:val="0"/>
        </w:rPr>
      </w:pPr>
      <w:bookmarkStart w:id="52" w:name="_Ref47356941"/>
      <w:r>
        <w:rPr>
          <w:rFonts w:ascii="Times New Roman" w:hAnsi="Times New Roman"/>
          <w:kern w:val="0"/>
        </w:rPr>
        <w:t xml:space="preserve"> </w:t>
      </w:r>
      <w:r>
        <w:rPr>
          <w:rFonts w:hint="eastAsia" w:ascii="Times New Roman" w:hAnsi="Times New Roman"/>
          <w:kern w:val="0"/>
        </w:rPr>
        <w:t>浓缩装置：氮吹仪或其他浓缩装置。</w:t>
      </w:r>
      <w:bookmarkEnd w:id="52"/>
    </w:p>
    <w:p>
      <w:pPr>
        <w:numPr>
          <w:ilvl w:val="0"/>
          <w:numId w:val="3"/>
        </w:numPr>
        <w:spacing w:before="0" w:beforeAutospacing="0" w:line="360" w:lineRule="auto"/>
        <w:rPr>
          <w:rFonts w:ascii="Times New Roman" w:hAnsi="Times New Roman"/>
          <w:kern w:val="0"/>
        </w:rPr>
      </w:pPr>
      <w:r>
        <w:rPr>
          <w:rFonts w:ascii="Times New Roman" w:hAnsi="Times New Roman"/>
          <w:kern w:val="0"/>
        </w:rPr>
        <w:t xml:space="preserve"> </w:t>
      </w:r>
      <w:r>
        <w:rPr>
          <w:rFonts w:hint="eastAsia" w:ascii="Times New Roman" w:hAnsi="Times New Roman"/>
          <w:kern w:val="0"/>
        </w:rPr>
        <w:t>过滤装置：包括板式过滤器、抽滤瓶、真空泵。</w:t>
      </w:r>
    </w:p>
    <w:p>
      <w:pPr>
        <w:numPr>
          <w:ilvl w:val="0"/>
          <w:numId w:val="3"/>
        </w:numPr>
        <w:spacing w:before="0" w:beforeAutospacing="0" w:line="360" w:lineRule="auto"/>
        <w:rPr>
          <w:rFonts w:ascii="Times New Roman" w:hAnsi="Times New Roman"/>
          <w:kern w:val="0"/>
        </w:rPr>
      </w:pPr>
      <w:bookmarkStart w:id="53" w:name="_Ref14276"/>
      <w:r>
        <w:rPr>
          <w:rFonts w:ascii="Times New Roman" w:hAnsi="Times New Roman"/>
          <w:kern w:val="0"/>
        </w:rPr>
        <w:t xml:space="preserve"> </w:t>
      </w:r>
      <w:r>
        <w:rPr>
          <w:rFonts w:hint="eastAsia" w:ascii="Times New Roman" w:hAnsi="Times New Roman"/>
          <w:kern w:val="0"/>
        </w:rPr>
        <w:t>采样器：材质为玻璃、不锈钢或聚四氟乙烯。</w:t>
      </w:r>
      <w:bookmarkEnd w:id="53"/>
    </w:p>
    <w:p>
      <w:pPr>
        <w:numPr>
          <w:ilvl w:val="0"/>
          <w:numId w:val="3"/>
        </w:numPr>
        <w:spacing w:before="0" w:beforeAutospacing="0" w:line="360" w:lineRule="auto"/>
        <w:rPr>
          <w:rFonts w:ascii="Times New Roman" w:hAnsi="Times New Roman"/>
          <w:kern w:val="0"/>
        </w:rPr>
      </w:pPr>
      <w:bookmarkStart w:id="54" w:name="_Ref13665"/>
      <w:r>
        <w:rPr>
          <w:rFonts w:ascii="Times New Roman" w:hAnsi="Times New Roman"/>
          <w:kern w:val="0"/>
        </w:rPr>
        <w:t xml:space="preserve"> </w:t>
      </w:r>
      <w:r>
        <w:rPr>
          <w:rFonts w:hint="eastAsia" w:ascii="Times New Roman" w:hAnsi="Times New Roman"/>
          <w:kern w:val="0"/>
        </w:rPr>
        <w:t>采样瓶：500</w:t>
      </w:r>
      <w:r>
        <w:rPr>
          <w:rFonts w:ascii="Times New Roman" w:hAnsi="Times New Roman"/>
          <w:kern w:val="0"/>
        </w:rPr>
        <w:t xml:space="preserve"> </w:t>
      </w:r>
      <w:r>
        <w:rPr>
          <w:rFonts w:hint="eastAsia" w:ascii="Times New Roman" w:hAnsi="Times New Roman"/>
          <w:kern w:val="0"/>
        </w:rPr>
        <w:t>mL，玻璃材质，棕色。</w:t>
      </w:r>
      <w:bookmarkEnd w:id="54"/>
    </w:p>
    <w:p>
      <w:pPr>
        <w:numPr>
          <w:ilvl w:val="0"/>
          <w:numId w:val="3"/>
        </w:numPr>
        <w:spacing w:before="0" w:beforeAutospacing="0" w:line="360" w:lineRule="auto"/>
        <w:rPr>
          <w:rFonts w:ascii="Times New Roman" w:hAnsi="Times New Roman"/>
          <w:kern w:val="0"/>
        </w:rPr>
      </w:pPr>
      <w:bookmarkStart w:id="55" w:name="_Ref24660"/>
      <w:r>
        <w:rPr>
          <w:rFonts w:ascii="Times New Roman" w:hAnsi="Times New Roman"/>
          <w:kern w:val="0"/>
        </w:rPr>
        <w:t xml:space="preserve"> </w:t>
      </w:r>
      <w:r>
        <w:rPr>
          <w:rFonts w:hint="eastAsia" w:ascii="Times New Roman" w:hAnsi="Times New Roman"/>
          <w:kern w:val="0"/>
        </w:rPr>
        <w:t>样品瓶：非针头式滤器，带过滤功能，滤膜为玻璃纤维材质，孔径0.45</w:t>
      </w:r>
      <w:r>
        <w:rPr>
          <w:rFonts w:ascii="Times New Roman" w:hAnsi="Times New Roman"/>
          <w:kern w:val="0"/>
        </w:rPr>
        <w:t xml:space="preserve"> μ</w:t>
      </w:r>
      <w:r>
        <w:rPr>
          <w:rFonts w:hint="eastAsia" w:ascii="Times New Roman" w:hAnsi="Times New Roman"/>
          <w:kern w:val="0"/>
        </w:rPr>
        <w:t>m。</w:t>
      </w:r>
      <w:bookmarkEnd w:id="55"/>
    </w:p>
    <w:p>
      <w:pPr>
        <w:numPr>
          <w:ilvl w:val="0"/>
          <w:numId w:val="3"/>
        </w:numPr>
        <w:spacing w:before="0" w:beforeAutospacing="0" w:line="360" w:lineRule="auto"/>
        <w:rPr>
          <w:rFonts w:ascii="Times New Roman" w:hAnsi="Times New Roman"/>
          <w:kern w:val="0"/>
        </w:rPr>
      </w:pPr>
      <w:r>
        <w:rPr>
          <w:rFonts w:ascii="Times New Roman" w:hAnsi="Times New Roman"/>
          <w:kern w:val="0"/>
        </w:rPr>
        <w:t xml:space="preserve"> </w:t>
      </w:r>
      <w:r>
        <w:rPr>
          <w:rFonts w:hint="eastAsia" w:ascii="Times New Roman" w:hAnsi="Times New Roman"/>
          <w:kern w:val="0"/>
        </w:rPr>
        <w:t>微量注射器：100</w:t>
      </w:r>
      <w:r>
        <w:rPr>
          <w:rFonts w:ascii="Times New Roman" w:hAnsi="Times New Roman"/>
          <w:kern w:val="0"/>
        </w:rPr>
        <w:t xml:space="preserve"> μ</w:t>
      </w:r>
      <w:r>
        <w:rPr>
          <w:rFonts w:hint="eastAsia" w:ascii="Times New Roman" w:hAnsi="Times New Roman"/>
          <w:kern w:val="0"/>
        </w:rPr>
        <w:t>L、500</w:t>
      </w:r>
      <w:r>
        <w:rPr>
          <w:rFonts w:ascii="Times New Roman" w:hAnsi="Times New Roman"/>
          <w:kern w:val="0"/>
        </w:rPr>
        <w:t xml:space="preserve"> μ</w:t>
      </w:r>
      <w:r>
        <w:rPr>
          <w:rFonts w:hint="eastAsia" w:ascii="Times New Roman" w:hAnsi="Times New Roman"/>
          <w:kern w:val="0"/>
        </w:rPr>
        <w:t>L、1000</w:t>
      </w:r>
      <w:r>
        <w:rPr>
          <w:rFonts w:ascii="Times New Roman" w:hAnsi="Times New Roman"/>
          <w:kern w:val="0"/>
        </w:rPr>
        <w:t xml:space="preserve"> μ</w:t>
      </w:r>
      <w:r>
        <w:rPr>
          <w:rFonts w:hint="eastAsia" w:ascii="Times New Roman" w:hAnsi="Times New Roman"/>
          <w:kern w:val="0"/>
        </w:rPr>
        <w:t>L。</w:t>
      </w:r>
    </w:p>
    <w:p>
      <w:pPr>
        <w:numPr>
          <w:ilvl w:val="0"/>
          <w:numId w:val="3"/>
        </w:numPr>
        <w:spacing w:before="0" w:beforeAutospacing="0" w:line="360" w:lineRule="auto"/>
        <w:rPr>
          <w:rFonts w:ascii="Times New Roman" w:hAnsi="Times New Roman"/>
          <w:kern w:val="0"/>
        </w:rPr>
      </w:pPr>
      <w:bookmarkStart w:id="56" w:name="_Ref5471"/>
      <w:r>
        <w:rPr>
          <w:rFonts w:ascii="Times New Roman" w:hAnsi="Times New Roman"/>
          <w:kern w:val="0"/>
        </w:rPr>
        <w:t xml:space="preserve"> </w:t>
      </w:r>
      <w:r>
        <w:rPr>
          <w:rFonts w:hint="eastAsia" w:ascii="Times New Roman" w:hAnsi="Times New Roman"/>
          <w:kern w:val="0"/>
        </w:rPr>
        <w:t>浓缩管：10</w:t>
      </w:r>
      <w:r>
        <w:rPr>
          <w:rFonts w:ascii="Times New Roman" w:hAnsi="Times New Roman"/>
          <w:kern w:val="0"/>
        </w:rPr>
        <w:t xml:space="preserve"> </w:t>
      </w:r>
      <w:r>
        <w:rPr>
          <w:rFonts w:hint="eastAsia" w:ascii="Times New Roman" w:hAnsi="Times New Roman"/>
          <w:kern w:val="0"/>
        </w:rPr>
        <w:t>mL、2</w:t>
      </w:r>
      <w:r>
        <w:rPr>
          <w:rFonts w:ascii="Times New Roman" w:hAnsi="Times New Roman"/>
          <w:kern w:val="0"/>
        </w:rPr>
        <w:t xml:space="preserve">5 </w:t>
      </w:r>
      <w:r>
        <w:rPr>
          <w:rFonts w:hint="eastAsia" w:ascii="Times New Roman" w:hAnsi="Times New Roman"/>
          <w:kern w:val="0"/>
        </w:rPr>
        <w:t>mL、50</w:t>
      </w:r>
      <w:r>
        <w:rPr>
          <w:rFonts w:ascii="Times New Roman" w:hAnsi="Times New Roman"/>
          <w:kern w:val="0"/>
        </w:rPr>
        <w:t xml:space="preserve"> </w:t>
      </w:r>
      <w:r>
        <w:rPr>
          <w:rFonts w:hint="eastAsia" w:ascii="Times New Roman" w:hAnsi="Times New Roman"/>
          <w:kern w:val="0"/>
        </w:rPr>
        <w:t>mL，下端带有1</w:t>
      </w:r>
      <w:r>
        <w:rPr>
          <w:rFonts w:ascii="Times New Roman" w:hAnsi="Times New Roman"/>
          <w:kern w:val="0"/>
        </w:rPr>
        <w:t xml:space="preserve"> </w:t>
      </w:r>
      <w:r>
        <w:rPr>
          <w:rFonts w:hint="eastAsia" w:ascii="Times New Roman" w:hAnsi="Times New Roman"/>
          <w:kern w:val="0"/>
        </w:rPr>
        <w:t>mL刻度。</w:t>
      </w:r>
      <w:bookmarkEnd w:id="56"/>
    </w:p>
    <w:p>
      <w:pPr>
        <w:numPr>
          <w:ilvl w:val="0"/>
          <w:numId w:val="3"/>
        </w:numPr>
        <w:spacing w:before="0" w:beforeAutospacing="0" w:line="360" w:lineRule="auto"/>
        <w:rPr>
          <w:rFonts w:ascii="Times New Roman" w:hAnsi="Times New Roman"/>
          <w:kern w:val="0"/>
        </w:rPr>
      </w:pPr>
      <w:bookmarkStart w:id="57" w:name="_Ref5940"/>
      <w:r>
        <w:rPr>
          <w:rFonts w:ascii="Times New Roman" w:hAnsi="Times New Roman"/>
          <w:kern w:val="0"/>
        </w:rPr>
        <w:t xml:space="preserve"> </w:t>
      </w:r>
      <w:r>
        <w:rPr>
          <w:rFonts w:hint="eastAsia" w:ascii="Times New Roman" w:hAnsi="Times New Roman"/>
          <w:kern w:val="0"/>
        </w:rPr>
        <w:t>固相萃取装置：包括</w:t>
      </w:r>
      <w:r>
        <w:rPr>
          <w:rFonts w:ascii="Times New Roman" w:hAnsi="Times New Roman"/>
          <w:kern w:val="0"/>
        </w:rPr>
        <w:t>真空玻璃</w:t>
      </w:r>
      <w:r>
        <w:rPr>
          <w:rFonts w:hint="eastAsia" w:ascii="Times New Roman" w:hAnsi="Times New Roman"/>
          <w:kern w:val="0"/>
        </w:rPr>
        <w:t>缸</w:t>
      </w:r>
      <w:r>
        <w:rPr>
          <w:rFonts w:ascii="Times New Roman" w:hAnsi="Times New Roman"/>
          <w:kern w:val="0"/>
        </w:rPr>
        <w:t>、</w:t>
      </w:r>
      <w:r>
        <w:rPr>
          <w:rFonts w:hint="eastAsia" w:ascii="Times New Roman" w:hAnsi="Times New Roman"/>
          <w:kern w:val="0"/>
        </w:rPr>
        <w:t>萃取柱</w:t>
      </w:r>
      <w:r>
        <w:rPr>
          <w:rFonts w:ascii="Times New Roman" w:hAnsi="Times New Roman"/>
          <w:kern w:val="0"/>
        </w:rPr>
        <w:t>托盘、收集架和真空泵</w:t>
      </w:r>
      <w:r>
        <w:rPr>
          <w:rFonts w:hint="eastAsia" w:ascii="Times New Roman" w:hAnsi="Times New Roman"/>
          <w:kern w:val="0"/>
        </w:rPr>
        <w:t>。</w:t>
      </w:r>
      <w:bookmarkEnd w:id="57"/>
    </w:p>
    <w:p>
      <w:pPr>
        <w:pStyle w:val="2"/>
        <w:numPr>
          <w:ilvl w:val="0"/>
          <w:numId w:val="1"/>
        </w:numPr>
        <w:spacing w:before="318" w:beforeLines="100" w:after="318" w:afterLines="100"/>
        <w:rPr>
          <w:rFonts w:ascii="Times New Roman" w:hAnsi="Times New Roman" w:eastAsia="黑体"/>
          <w:b w:val="0"/>
          <w:bCs/>
          <w:sz w:val="21"/>
        </w:rPr>
      </w:pPr>
      <w:bookmarkStart w:id="58" w:name="_Toc2005"/>
      <w:bookmarkStart w:id="59" w:name="_Ref11454"/>
      <w:bookmarkStart w:id="60" w:name="_Toc23404636"/>
      <w:bookmarkStart w:id="61" w:name="_Toc47358583"/>
      <w:r>
        <w:rPr>
          <w:rFonts w:hint="eastAsia" w:ascii="Times New Roman" w:hAnsi="Times New Roman" w:eastAsia="黑体"/>
          <w:b w:val="0"/>
          <w:bCs/>
          <w:sz w:val="21"/>
        </w:rPr>
        <w:t xml:space="preserve"> 样品</w:t>
      </w:r>
      <w:bookmarkEnd w:id="58"/>
      <w:bookmarkEnd w:id="59"/>
      <w:bookmarkEnd w:id="60"/>
      <w:bookmarkEnd w:id="61"/>
    </w:p>
    <w:p>
      <w:pPr>
        <w:pStyle w:val="3"/>
        <w:spacing w:before="0" w:beforeAutospacing="0" w:after="159" w:afterLines="50" w:line="360" w:lineRule="auto"/>
        <w:rPr>
          <w:rFonts w:ascii="黑体" w:hAnsi="黑体" w:eastAsia="黑体"/>
          <w:b w:val="0"/>
          <w:kern w:val="0"/>
          <w:sz w:val="21"/>
          <w:szCs w:val="21"/>
        </w:rPr>
      </w:pPr>
      <w:bookmarkStart w:id="62" w:name="_Toc23404637"/>
      <w:bookmarkStart w:id="63" w:name="_Toc31491"/>
      <w:bookmarkStart w:id="64" w:name="_Toc47358584"/>
      <w:r>
        <w:rPr>
          <w:rFonts w:hint="eastAsia" w:ascii="黑体" w:hAnsi="黑体" w:eastAsia="黑体"/>
          <w:b w:val="0"/>
          <w:kern w:val="0"/>
          <w:sz w:val="21"/>
          <w:szCs w:val="21"/>
        </w:rPr>
        <w:t>6.1</w:t>
      </w:r>
      <w:r>
        <w:rPr>
          <w:rFonts w:ascii="黑体" w:hAnsi="黑体" w:eastAsia="黑体"/>
          <w:b w:val="0"/>
          <w:kern w:val="0"/>
          <w:sz w:val="21"/>
          <w:szCs w:val="21"/>
        </w:rPr>
        <w:t xml:space="preserve"> </w:t>
      </w:r>
      <w:r>
        <w:rPr>
          <w:rFonts w:hint="eastAsia" w:ascii="黑体" w:hAnsi="黑体" w:eastAsia="黑体"/>
          <w:b w:val="0"/>
          <w:kern w:val="0"/>
          <w:sz w:val="21"/>
          <w:szCs w:val="21"/>
        </w:rPr>
        <w:t>样品的采集和保存</w:t>
      </w:r>
      <w:bookmarkEnd w:id="62"/>
      <w:bookmarkEnd w:id="63"/>
      <w:bookmarkEnd w:id="64"/>
    </w:p>
    <w:p>
      <w:pPr>
        <w:tabs>
          <w:tab w:val="left" w:pos="0"/>
        </w:tabs>
        <w:spacing w:before="0" w:beforeAutospacing="0" w:line="360" w:lineRule="auto"/>
        <w:rPr>
          <w:rFonts w:ascii="Times New Roman" w:hAnsi="Times New Roman"/>
          <w:kern w:val="0"/>
        </w:rPr>
      </w:pPr>
      <w:r>
        <w:rPr>
          <w:rFonts w:hint="eastAsia" w:ascii="Times New Roman" w:hAnsi="Times New Roman"/>
          <w:kern w:val="0"/>
        </w:rPr>
        <w:t>6.1.1</w:t>
      </w:r>
      <w:r>
        <w:rPr>
          <w:rFonts w:ascii="Times New Roman" w:hAnsi="Times New Roman"/>
          <w:kern w:val="0"/>
        </w:rPr>
        <w:t xml:space="preserve"> </w:t>
      </w:r>
      <w:r>
        <w:rPr>
          <w:rFonts w:hint="eastAsia" w:ascii="Times New Roman" w:hAnsi="Times New Roman"/>
          <w:kern w:val="0"/>
        </w:rPr>
        <w:t>地表水、</w:t>
      </w:r>
      <w:r>
        <w:rPr>
          <w:rFonts w:ascii="Times New Roman" w:hAnsi="Times New Roman"/>
          <w:kern w:val="0"/>
        </w:rPr>
        <w:t>地下水样品的采集按照</w:t>
      </w:r>
      <w:r>
        <w:rPr>
          <w:rFonts w:hint="eastAsia" w:ascii="Times New Roman" w:hAnsi="Times New Roman"/>
          <w:kern w:val="0"/>
        </w:rPr>
        <w:t>SL 219的</w:t>
      </w:r>
      <w:r>
        <w:rPr>
          <w:rFonts w:ascii="Times New Roman" w:hAnsi="Times New Roman"/>
          <w:kern w:val="0"/>
        </w:rPr>
        <w:t>相关规定执行。</w:t>
      </w:r>
    </w:p>
    <w:p>
      <w:pPr>
        <w:tabs>
          <w:tab w:val="left" w:pos="0"/>
        </w:tabs>
        <w:spacing w:before="0" w:beforeAutospacing="0" w:line="360" w:lineRule="auto"/>
        <w:rPr>
          <w:rFonts w:ascii="Times New Roman" w:hAnsi="Times New Roman"/>
          <w:kern w:val="0"/>
        </w:rPr>
      </w:pPr>
      <w:r>
        <w:rPr>
          <w:rFonts w:ascii="Times New Roman" w:hAnsi="Times New Roman"/>
          <w:kern w:val="0"/>
        </w:rPr>
        <w:t xml:space="preserve">6.1.2 </w:t>
      </w:r>
      <w:r>
        <w:rPr>
          <w:rFonts w:hint="eastAsia" w:ascii="Times New Roman" w:hAnsi="Times New Roman"/>
          <w:kern w:val="0"/>
        </w:rPr>
        <w:t>生活饮用水样品</w:t>
      </w:r>
      <w:r>
        <w:rPr>
          <w:rFonts w:ascii="Times New Roman" w:hAnsi="Times New Roman"/>
          <w:kern w:val="0"/>
        </w:rPr>
        <w:t>的采集按照</w:t>
      </w:r>
      <w:r>
        <w:rPr>
          <w:rFonts w:hint="eastAsia" w:ascii="Times New Roman" w:hAnsi="Times New Roman"/>
          <w:kern w:val="0"/>
        </w:rPr>
        <w:t>GB/T 5750.2的</w:t>
      </w:r>
      <w:r>
        <w:rPr>
          <w:rFonts w:ascii="Times New Roman" w:hAnsi="Times New Roman"/>
          <w:kern w:val="0"/>
        </w:rPr>
        <w:t>相关规定执行</w:t>
      </w:r>
      <w:r>
        <w:rPr>
          <w:rFonts w:hint="eastAsia" w:ascii="Times New Roman" w:hAnsi="Times New Roman"/>
          <w:kern w:val="0"/>
        </w:rPr>
        <w:t>。</w:t>
      </w:r>
    </w:p>
    <w:p>
      <w:pPr>
        <w:tabs>
          <w:tab w:val="left" w:pos="0"/>
        </w:tabs>
        <w:spacing w:before="0" w:beforeAutospacing="0" w:line="360" w:lineRule="auto"/>
        <w:rPr>
          <w:rFonts w:ascii="Times New Roman" w:hAnsi="Times New Roman"/>
          <w:kern w:val="0"/>
        </w:rPr>
      </w:pPr>
      <w:r>
        <w:rPr>
          <w:rFonts w:hint="eastAsia" w:ascii="Times New Roman" w:hAnsi="Times New Roman"/>
          <w:kern w:val="0"/>
        </w:rPr>
        <w:t>6.1.3</w:t>
      </w:r>
      <w:r>
        <w:rPr>
          <w:rFonts w:ascii="Times New Roman" w:hAnsi="Times New Roman"/>
          <w:kern w:val="0"/>
        </w:rPr>
        <w:t xml:space="preserve"> </w:t>
      </w:r>
      <w:r>
        <w:rPr>
          <w:rFonts w:hint="eastAsia" w:ascii="Times New Roman" w:hAnsi="Times New Roman"/>
          <w:kern w:val="0"/>
        </w:rPr>
        <w:t>用具有玻璃塞的棕色磨口瓶或具有聚四氟乙烯衬垫的棕色螺口玻璃瓶储存样品。样品采集后用</w:t>
      </w:r>
      <w:r>
        <w:rPr>
          <w:rFonts w:ascii="Times New Roman" w:hAnsi="Times New Roman"/>
          <w:kern w:val="0"/>
        </w:rPr>
        <w:t>硫酸溶液（</w:t>
      </w:r>
      <w:r>
        <w:rPr>
          <w:rFonts w:ascii="Times New Roman" w:hAnsi="Times New Roman"/>
          <w:kern w:val="0"/>
        </w:rPr>
        <w:fldChar w:fldCharType="begin"/>
      </w:r>
      <w:r>
        <w:rPr>
          <w:rFonts w:ascii="Times New Roman" w:hAnsi="Times New Roman"/>
          <w:kern w:val="0"/>
        </w:rPr>
        <w:instrText xml:space="preserve"> REF _Ref23346821 \r \h </w:instrText>
      </w:r>
      <w:r>
        <w:rPr>
          <w:rFonts w:ascii="Times New Roman" w:hAnsi="Times New Roman"/>
          <w:kern w:val="0"/>
        </w:rPr>
        <w:fldChar w:fldCharType="separate"/>
      </w:r>
      <w:r>
        <w:rPr>
          <w:rFonts w:ascii="Times New Roman" w:hAnsi="Times New Roman"/>
          <w:kern w:val="0"/>
        </w:rPr>
        <w:t>4.13</w:t>
      </w:r>
      <w:r>
        <w:rPr>
          <w:rFonts w:ascii="Times New Roman" w:hAnsi="Times New Roman"/>
          <w:kern w:val="0"/>
        </w:rPr>
        <w:fldChar w:fldCharType="end"/>
      </w:r>
      <w:r>
        <w:rPr>
          <w:rFonts w:ascii="Times New Roman" w:hAnsi="Times New Roman"/>
          <w:kern w:val="0"/>
        </w:rPr>
        <w:t>）</w:t>
      </w:r>
      <w:r>
        <w:rPr>
          <w:rFonts w:hint="eastAsia" w:ascii="Times New Roman" w:hAnsi="Times New Roman"/>
          <w:kern w:val="0"/>
        </w:rPr>
        <w:t>或</w:t>
      </w:r>
      <w:r>
        <w:rPr>
          <w:rFonts w:ascii="Times New Roman" w:hAnsi="Times New Roman"/>
          <w:kern w:val="0"/>
        </w:rPr>
        <w:t>氢氧化钠溶液（</w:t>
      </w:r>
      <w:r>
        <w:rPr>
          <w:rFonts w:ascii="Times New Roman" w:hAnsi="Times New Roman"/>
          <w:kern w:val="0"/>
        </w:rPr>
        <w:fldChar w:fldCharType="begin"/>
      </w:r>
      <w:r>
        <w:rPr>
          <w:rFonts w:ascii="Times New Roman" w:hAnsi="Times New Roman"/>
          <w:kern w:val="0"/>
        </w:rPr>
        <w:instrText xml:space="preserve"> REF _Ref23346839 \r \h </w:instrText>
      </w:r>
      <w:r>
        <w:rPr>
          <w:rFonts w:ascii="Times New Roman" w:hAnsi="Times New Roman"/>
          <w:kern w:val="0"/>
        </w:rPr>
        <w:fldChar w:fldCharType="separate"/>
      </w:r>
      <w:r>
        <w:rPr>
          <w:rFonts w:ascii="Times New Roman" w:hAnsi="Times New Roman"/>
          <w:kern w:val="0"/>
        </w:rPr>
        <w:t>4.14</w:t>
      </w:r>
      <w:r>
        <w:rPr>
          <w:rFonts w:ascii="Times New Roman" w:hAnsi="Times New Roman"/>
          <w:kern w:val="0"/>
        </w:rPr>
        <w:fldChar w:fldCharType="end"/>
      </w:r>
      <w:r>
        <w:rPr>
          <w:rFonts w:ascii="Times New Roman" w:hAnsi="Times New Roman"/>
          <w:kern w:val="0"/>
        </w:rPr>
        <w:t>）</w:t>
      </w:r>
      <w:r>
        <w:rPr>
          <w:rFonts w:hint="eastAsia" w:ascii="Times New Roman" w:hAnsi="Times New Roman"/>
          <w:kern w:val="0"/>
        </w:rPr>
        <w:t>调节pH</w:t>
      </w:r>
      <w:r>
        <w:rPr>
          <w:rFonts w:ascii="Times New Roman" w:hAnsi="Times New Roman"/>
          <w:kern w:val="0"/>
        </w:rPr>
        <w:t>至中性，</w:t>
      </w:r>
      <w:r>
        <w:rPr>
          <w:rFonts w:hint="eastAsia" w:ascii="Times New Roman" w:hAnsi="Times New Roman"/>
          <w:kern w:val="0"/>
        </w:rPr>
        <w:t>4℃下避光保存，</w:t>
      </w:r>
      <w:r>
        <w:rPr>
          <w:rFonts w:ascii="Times New Roman" w:hAnsi="Times New Roman"/>
          <w:kern w:val="0"/>
        </w:rPr>
        <w:t xml:space="preserve">3 </w:t>
      </w:r>
      <w:r>
        <w:rPr>
          <w:rFonts w:hint="eastAsia" w:ascii="Times New Roman" w:hAnsi="Times New Roman"/>
          <w:kern w:val="0"/>
        </w:rPr>
        <w:t>d内完成直接进样测定</w:t>
      </w:r>
      <w:r>
        <w:rPr>
          <w:rFonts w:ascii="Times New Roman" w:hAnsi="Times New Roman"/>
          <w:kern w:val="0"/>
        </w:rPr>
        <w:t>或固相</w:t>
      </w:r>
      <w:r>
        <w:rPr>
          <w:rFonts w:hint="eastAsia" w:ascii="Times New Roman" w:hAnsi="Times New Roman"/>
          <w:kern w:val="0"/>
        </w:rPr>
        <w:t>萃取，萃取后</w:t>
      </w:r>
      <w:r>
        <w:rPr>
          <w:rFonts w:ascii="Times New Roman" w:hAnsi="Times New Roman"/>
          <w:kern w:val="0"/>
        </w:rPr>
        <w:t xml:space="preserve">3 </w:t>
      </w:r>
      <w:r>
        <w:rPr>
          <w:rFonts w:hint="eastAsia" w:ascii="Times New Roman" w:hAnsi="Times New Roman"/>
          <w:kern w:val="0"/>
        </w:rPr>
        <w:t>d内完成洗脱测定。</w:t>
      </w:r>
    </w:p>
    <w:p>
      <w:pPr>
        <w:pStyle w:val="3"/>
        <w:spacing w:before="159" w:beforeLines="50" w:beforeAutospacing="0" w:after="159" w:afterLines="50" w:line="360" w:lineRule="auto"/>
        <w:rPr>
          <w:rFonts w:ascii="黑体" w:hAnsi="黑体" w:eastAsia="黑体"/>
          <w:b w:val="0"/>
          <w:kern w:val="0"/>
          <w:sz w:val="21"/>
          <w:szCs w:val="21"/>
        </w:rPr>
      </w:pPr>
      <w:bookmarkStart w:id="65" w:name="_Toc47358585"/>
      <w:bookmarkStart w:id="66" w:name="_Toc23404638"/>
      <w:bookmarkStart w:id="67" w:name="_Toc23593"/>
      <w:r>
        <w:rPr>
          <w:rFonts w:hint="eastAsia" w:ascii="黑体" w:hAnsi="黑体" w:eastAsia="黑体"/>
          <w:b w:val="0"/>
          <w:kern w:val="0"/>
          <w:sz w:val="21"/>
          <w:szCs w:val="21"/>
        </w:rPr>
        <w:t>6.2</w:t>
      </w:r>
      <w:r>
        <w:rPr>
          <w:rFonts w:ascii="黑体" w:hAnsi="黑体" w:eastAsia="黑体"/>
          <w:b w:val="0"/>
          <w:kern w:val="0"/>
          <w:sz w:val="21"/>
          <w:szCs w:val="21"/>
        </w:rPr>
        <w:t xml:space="preserve"> </w:t>
      </w:r>
      <w:r>
        <w:rPr>
          <w:rFonts w:hint="eastAsia" w:ascii="黑体" w:hAnsi="黑体" w:eastAsia="黑体"/>
          <w:b w:val="0"/>
          <w:kern w:val="0"/>
          <w:sz w:val="21"/>
          <w:szCs w:val="21"/>
        </w:rPr>
        <w:t>样品的制备</w:t>
      </w:r>
      <w:bookmarkEnd w:id="65"/>
      <w:bookmarkEnd w:id="66"/>
      <w:bookmarkEnd w:id="67"/>
    </w:p>
    <w:p>
      <w:pPr>
        <w:spacing w:before="0" w:beforeAutospacing="0"/>
        <w:rPr>
          <w:rFonts w:ascii="Times New Roman" w:hAnsi="Times New Roman"/>
          <w:kern w:val="0"/>
        </w:rPr>
      </w:pPr>
      <w:r>
        <w:rPr>
          <w:rFonts w:hint="eastAsia" w:ascii="Times New Roman" w:hAnsi="Times New Roman"/>
          <w:kern w:val="0"/>
        </w:rPr>
        <w:t>6.2.1</w:t>
      </w:r>
      <w:r>
        <w:rPr>
          <w:rFonts w:ascii="Times New Roman" w:hAnsi="Times New Roman"/>
          <w:kern w:val="0"/>
        </w:rPr>
        <w:t xml:space="preserve"> </w:t>
      </w:r>
      <w:r>
        <w:rPr>
          <w:rFonts w:hint="eastAsia" w:ascii="Times New Roman" w:hAnsi="Times New Roman"/>
          <w:kern w:val="0"/>
        </w:rPr>
        <w:t>水样中待测物浓度≥1.00</w:t>
      </w:r>
      <w:r>
        <w:rPr>
          <w:rFonts w:ascii="Times New Roman" w:hAnsi="Times New Roman"/>
          <w:kern w:val="0"/>
        </w:rPr>
        <w:t xml:space="preserve"> μ</w:t>
      </w:r>
      <w:r>
        <w:rPr>
          <w:rFonts w:hint="eastAsia" w:ascii="Times New Roman" w:hAnsi="Times New Roman"/>
          <w:kern w:val="0"/>
        </w:rPr>
        <w:t>g/L时，可直接进样。操作如下：</w:t>
      </w:r>
    </w:p>
    <w:p>
      <w:pPr>
        <w:tabs>
          <w:tab w:val="left" w:pos="0"/>
        </w:tabs>
        <w:spacing w:before="0" w:beforeAutospacing="0" w:line="360" w:lineRule="auto"/>
        <w:ind w:firstLine="478" w:firstLineChars="228"/>
        <w:rPr>
          <w:rFonts w:ascii="Times New Roman" w:hAnsi="Times New Roman"/>
          <w:kern w:val="0"/>
        </w:rPr>
      </w:pPr>
      <w:r>
        <w:rPr>
          <w:rFonts w:hint="eastAsia" w:ascii="Times New Roman" w:hAnsi="Times New Roman"/>
          <w:kern w:val="0"/>
        </w:rPr>
        <w:t>取50</w:t>
      </w:r>
      <w:r>
        <w:rPr>
          <w:rFonts w:ascii="Times New Roman" w:hAnsi="Times New Roman"/>
          <w:kern w:val="0"/>
        </w:rPr>
        <w:t xml:space="preserve"> </w:t>
      </w:r>
      <w:r>
        <w:rPr>
          <w:rFonts w:hint="eastAsia" w:ascii="Times New Roman" w:hAnsi="Times New Roman"/>
          <w:kern w:val="0"/>
        </w:rPr>
        <w:t>mL容量瓶，用水样润洗三遍，加入7.50</w:t>
      </w:r>
      <w:r>
        <w:rPr>
          <w:rFonts w:ascii="Times New Roman" w:hAnsi="Times New Roman"/>
          <w:kern w:val="0"/>
        </w:rPr>
        <w:t xml:space="preserve"> </w:t>
      </w:r>
      <w:r>
        <w:rPr>
          <w:rFonts w:hint="eastAsia" w:ascii="Times New Roman" w:hAnsi="Times New Roman"/>
          <w:kern w:val="0"/>
        </w:rPr>
        <w:t>mL甲醇（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），再加水样至刻度，摇匀后取适量样品用微孔滤膜（</w:t>
      </w:r>
      <w:r>
        <w:rPr>
          <w:rFonts w:hint="eastAsia" w:ascii="Times New Roman" w:hAnsi="Times New Roman"/>
          <w:kern w:val="0"/>
        </w:rPr>
        <w:fldChar w:fldCharType="begin"/>
      </w:r>
      <w:r>
        <w:rPr>
          <w:rFonts w:hint="eastAsia" w:ascii="Times New Roman" w:hAnsi="Times New Roman"/>
          <w:kern w:val="0"/>
        </w:rPr>
        <w:instrText xml:space="preserve"> REF _Ref22550 \w \h </w:instrText>
      </w:r>
      <w:r>
        <w:rPr>
          <w:rFonts w:hint="eastAsia" w:ascii="Times New Roman" w:hAnsi="Times New Roman"/>
          <w:kern w:val="0"/>
        </w:rPr>
        <w:fldChar w:fldCharType="separate"/>
      </w:r>
      <w:r>
        <w:rPr>
          <w:rFonts w:ascii="Times New Roman" w:hAnsi="Times New Roman"/>
          <w:kern w:val="0"/>
        </w:rPr>
        <w:t>4.23</w:t>
      </w:r>
      <w:r>
        <w:rPr>
          <w:rFonts w:hint="eastAsia" w:ascii="Times New Roman" w:hAnsi="Times New Roman"/>
          <w:kern w:val="0"/>
        </w:rPr>
        <w:fldChar w:fldCharType="end"/>
      </w:r>
      <w:r>
        <w:rPr>
          <w:rFonts w:hint="eastAsia" w:ascii="Times New Roman" w:hAnsi="Times New Roman"/>
          <w:kern w:val="0"/>
        </w:rPr>
        <w:t>）过滤或置于样品瓶（</w:t>
      </w:r>
      <w:r>
        <w:rPr>
          <w:rFonts w:hint="eastAsia" w:ascii="Times New Roman" w:hAnsi="Times New Roman"/>
          <w:kern w:val="0"/>
        </w:rPr>
        <w:fldChar w:fldCharType="begin"/>
      </w:r>
      <w:r>
        <w:rPr>
          <w:rFonts w:hint="eastAsia" w:ascii="Times New Roman" w:hAnsi="Times New Roman"/>
          <w:kern w:val="0"/>
        </w:rPr>
        <w:instrText xml:space="preserve"> REF _Ref24660 \w </w:instrText>
      </w:r>
      <w:r>
        <w:rPr>
          <w:rFonts w:hint="eastAsia" w:ascii="Times New Roman" w:hAnsi="Times New Roman"/>
          <w:kern w:val="0"/>
        </w:rPr>
        <w:fldChar w:fldCharType="separate"/>
      </w:r>
      <w:r>
        <w:rPr>
          <w:rFonts w:ascii="Times New Roman" w:hAnsi="Times New Roman"/>
          <w:kern w:val="0"/>
        </w:rPr>
        <w:t>5.9</w:t>
      </w:r>
      <w:r>
        <w:rPr>
          <w:rFonts w:hint="eastAsia" w:ascii="Times New Roman" w:hAnsi="Times New Roman"/>
          <w:kern w:val="0"/>
        </w:rPr>
        <w:fldChar w:fldCharType="end"/>
      </w:r>
      <w:r>
        <w:rPr>
          <w:rFonts w:hint="eastAsia" w:ascii="Times New Roman" w:hAnsi="Times New Roman"/>
          <w:kern w:val="0"/>
        </w:rPr>
        <w:t>）中过滤，待测。</w:t>
      </w:r>
    </w:p>
    <w:p>
      <w:pPr>
        <w:spacing w:before="0" w:beforeAutospacing="0"/>
        <w:rPr>
          <w:rFonts w:ascii="Times New Roman" w:hAnsi="Times New Roman"/>
          <w:kern w:val="0"/>
        </w:rPr>
      </w:pPr>
      <w:r>
        <w:rPr>
          <w:rFonts w:hint="eastAsia" w:ascii="Times New Roman" w:hAnsi="Times New Roman"/>
          <w:kern w:val="0"/>
        </w:rPr>
        <w:t>6.2.2</w:t>
      </w:r>
      <w:r>
        <w:rPr>
          <w:rFonts w:ascii="Times New Roman" w:hAnsi="Times New Roman"/>
          <w:kern w:val="0"/>
        </w:rPr>
        <w:t xml:space="preserve"> </w:t>
      </w:r>
      <w:r>
        <w:rPr>
          <w:rFonts w:hint="eastAsia" w:ascii="Times New Roman" w:hAnsi="Times New Roman"/>
          <w:kern w:val="0"/>
        </w:rPr>
        <w:t>水样中待测物浓度＜1.00</w:t>
      </w:r>
      <w:r>
        <w:rPr>
          <w:rFonts w:ascii="Times New Roman" w:hAnsi="Times New Roman"/>
          <w:kern w:val="0"/>
        </w:rPr>
        <w:t xml:space="preserve"> μ</w:t>
      </w:r>
      <w:r>
        <w:rPr>
          <w:rFonts w:hint="eastAsia" w:ascii="Times New Roman" w:hAnsi="Times New Roman"/>
          <w:kern w:val="0"/>
        </w:rPr>
        <w:t>g/L时，应固相萃取浓缩后进样。操作如下：</w:t>
      </w:r>
    </w:p>
    <w:p>
      <w:pPr>
        <w:tabs>
          <w:tab w:val="left" w:pos="0"/>
        </w:tabs>
        <w:spacing w:before="0" w:beforeAutospacing="0" w:line="360" w:lineRule="auto"/>
        <w:ind w:firstLine="420" w:firstLineChars="200"/>
        <w:rPr>
          <w:rFonts w:ascii="Times New Roman" w:hAnsi="Times New Roman"/>
          <w:kern w:val="0"/>
        </w:rPr>
      </w:pPr>
      <w:r>
        <w:rPr>
          <w:rFonts w:hint="eastAsia" w:ascii="Times New Roman" w:hAnsi="Times New Roman"/>
          <w:kern w:val="0"/>
        </w:rPr>
        <w:t>依次用10</w:t>
      </w:r>
      <w:r>
        <w:rPr>
          <w:rFonts w:ascii="Times New Roman" w:hAnsi="Times New Roman"/>
          <w:kern w:val="0"/>
        </w:rPr>
        <w:t xml:space="preserve"> </w:t>
      </w:r>
      <w:r>
        <w:rPr>
          <w:rFonts w:hint="eastAsia" w:ascii="Times New Roman" w:hAnsi="Times New Roman"/>
          <w:kern w:val="0"/>
        </w:rPr>
        <w:t>mL甲醇（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）和10</w:t>
      </w:r>
      <w:r>
        <w:rPr>
          <w:rFonts w:ascii="Times New Roman" w:hAnsi="Times New Roman"/>
          <w:kern w:val="0"/>
        </w:rPr>
        <w:t xml:space="preserve"> </w:t>
      </w:r>
      <w:r>
        <w:rPr>
          <w:rFonts w:hint="eastAsia" w:ascii="Times New Roman" w:hAnsi="Times New Roman"/>
          <w:kern w:val="0"/>
        </w:rPr>
        <w:t>mL纯水（</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_Ref23347346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w:t>
      </w:r>
      <w:r>
        <w:rPr>
          <w:rFonts w:ascii="Times New Roman" w:hAnsi="Times New Roman"/>
          <w:kern w:val="0"/>
        </w:rPr>
        <w:fldChar w:fldCharType="end"/>
      </w:r>
      <w:r>
        <w:rPr>
          <w:rFonts w:hint="eastAsia" w:ascii="Times New Roman" w:hAnsi="Times New Roman"/>
          <w:kern w:val="0"/>
        </w:rPr>
        <w:t>）活化固相萃取柱（</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_Ref23967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4.24</w:t>
      </w:r>
      <w:r>
        <w:rPr>
          <w:rFonts w:ascii="Times New Roman" w:hAnsi="Times New Roman"/>
          <w:kern w:val="0"/>
        </w:rPr>
        <w:fldChar w:fldCharType="end"/>
      </w:r>
      <w:r>
        <w:rPr>
          <w:rFonts w:hint="eastAsia" w:ascii="Times New Roman" w:hAnsi="Times New Roman"/>
          <w:kern w:val="0"/>
        </w:rPr>
        <w:t>），在活化过程中确保萃取柱中填料不露出液面。量取100</w:t>
      </w:r>
      <w:r>
        <w:rPr>
          <w:rFonts w:ascii="Times New Roman" w:hAnsi="Times New Roman"/>
          <w:kern w:val="0"/>
        </w:rPr>
        <w:t xml:space="preserve"> </w:t>
      </w:r>
      <w:r>
        <w:rPr>
          <w:rFonts w:hint="eastAsia" w:ascii="Times New Roman" w:hAnsi="Times New Roman"/>
          <w:kern w:val="0"/>
        </w:rPr>
        <w:t>mL水样，以5</w:t>
      </w:r>
      <w:r>
        <w:rPr>
          <w:rFonts w:ascii="Times New Roman" w:hAnsi="Times New Roman"/>
          <w:kern w:val="0"/>
        </w:rPr>
        <w:t xml:space="preserve"> </w:t>
      </w:r>
      <w:r>
        <w:rPr>
          <w:rFonts w:hint="eastAsia" w:ascii="Times New Roman" w:hAnsi="Times New Roman"/>
          <w:kern w:val="0"/>
        </w:rPr>
        <w:t>mL/min的流速（约2滴/秒）通过萃取柱，再用10</w:t>
      </w:r>
      <w:r>
        <w:rPr>
          <w:rFonts w:ascii="Times New Roman" w:hAnsi="Times New Roman"/>
          <w:kern w:val="0"/>
        </w:rPr>
        <w:t xml:space="preserve"> </w:t>
      </w:r>
      <w:r>
        <w:rPr>
          <w:rFonts w:hint="eastAsia" w:ascii="Times New Roman" w:hAnsi="Times New Roman"/>
          <w:kern w:val="0"/>
        </w:rPr>
        <w:t>mL纯水淋洗萃取柱，用真空泵抽干萃取柱15</w:t>
      </w:r>
      <w:r>
        <w:rPr>
          <w:rFonts w:ascii="Times New Roman" w:hAnsi="Times New Roman"/>
          <w:kern w:val="0"/>
        </w:rPr>
        <w:t xml:space="preserve"> </w:t>
      </w:r>
      <w:r>
        <w:rPr>
          <w:rFonts w:hint="eastAsia" w:ascii="Times New Roman" w:hAnsi="Times New Roman"/>
          <w:kern w:val="0"/>
        </w:rPr>
        <w:t>min。用10</w:t>
      </w:r>
      <w:r>
        <w:rPr>
          <w:rFonts w:ascii="Times New Roman" w:hAnsi="Times New Roman"/>
          <w:kern w:val="0"/>
        </w:rPr>
        <w:t xml:space="preserve"> </w:t>
      </w:r>
      <w:r>
        <w:rPr>
          <w:rFonts w:hint="eastAsia" w:ascii="Times New Roman" w:hAnsi="Times New Roman"/>
          <w:kern w:val="0"/>
        </w:rPr>
        <w:t>mL甲醇（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）以2</w:t>
      </w:r>
      <w:r>
        <w:rPr>
          <w:rFonts w:ascii="Times New Roman" w:hAnsi="Times New Roman"/>
          <w:kern w:val="0"/>
        </w:rPr>
        <w:t xml:space="preserve"> </w:t>
      </w:r>
      <w:r>
        <w:rPr>
          <w:rFonts w:hint="eastAsia" w:ascii="Times New Roman" w:hAnsi="Times New Roman"/>
          <w:kern w:val="0"/>
        </w:rPr>
        <w:t>mL/min的流速（约1滴/秒）洗脱萃取柱，收集洗脱液于浓缩管（</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_Ref5471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5.11</w:t>
      </w:r>
      <w:r>
        <w:rPr>
          <w:rFonts w:ascii="Times New Roman" w:hAnsi="Times New Roman"/>
          <w:kern w:val="0"/>
        </w:rPr>
        <w:fldChar w:fldCharType="end"/>
      </w:r>
      <w:r>
        <w:rPr>
          <w:rFonts w:hint="eastAsia" w:ascii="Times New Roman" w:hAnsi="Times New Roman"/>
          <w:kern w:val="0"/>
        </w:rPr>
        <w:t>）中。用浓缩装置（</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_Ref47356941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5.5</w:t>
      </w:r>
      <w:r>
        <w:rPr>
          <w:rFonts w:ascii="Times New Roman" w:hAnsi="Times New Roman"/>
          <w:kern w:val="0"/>
        </w:rPr>
        <w:fldChar w:fldCharType="end"/>
      </w:r>
      <w:r>
        <w:rPr>
          <w:rFonts w:hint="eastAsia" w:ascii="Times New Roman" w:hAnsi="Times New Roman"/>
          <w:kern w:val="0"/>
        </w:rPr>
        <w:t>）将洗脱液浓缩至1.0</w:t>
      </w:r>
      <w:r>
        <w:rPr>
          <w:rFonts w:ascii="Times New Roman" w:hAnsi="Times New Roman"/>
          <w:kern w:val="0"/>
        </w:rPr>
        <w:t xml:space="preserve"> </w:t>
      </w:r>
      <w:r>
        <w:rPr>
          <w:rFonts w:hint="eastAsia" w:ascii="Times New Roman" w:hAnsi="Times New Roman"/>
          <w:kern w:val="0"/>
        </w:rPr>
        <w:t>mL，浓缩温度不高于40℃，待测。</w:t>
      </w:r>
    </w:p>
    <w:p>
      <w:pPr>
        <w:pStyle w:val="2"/>
        <w:numPr>
          <w:ilvl w:val="0"/>
          <w:numId w:val="1"/>
        </w:numPr>
        <w:spacing w:before="318" w:beforeLines="100" w:after="318" w:afterLines="100"/>
        <w:rPr>
          <w:rFonts w:ascii="Times New Roman" w:hAnsi="Times New Roman" w:eastAsia="黑体"/>
          <w:b w:val="0"/>
          <w:bCs/>
          <w:sz w:val="21"/>
        </w:rPr>
      </w:pPr>
      <w:bookmarkStart w:id="68" w:name="_Toc23404639"/>
      <w:bookmarkStart w:id="69" w:name="_Toc47358586"/>
      <w:bookmarkStart w:id="70" w:name="_Toc7195"/>
      <w:r>
        <w:rPr>
          <w:rFonts w:hint="eastAsia" w:ascii="Times New Roman" w:hAnsi="Times New Roman" w:eastAsia="黑体"/>
          <w:b w:val="0"/>
          <w:bCs/>
          <w:sz w:val="21"/>
        </w:rPr>
        <w:t xml:space="preserve"> 分析步骤</w:t>
      </w:r>
      <w:bookmarkEnd w:id="68"/>
      <w:bookmarkEnd w:id="69"/>
      <w:bookmarkEnd w:id="70"/>
    </w:p>
    <w:p>
      <w:pPr>
        <w:pStyle w:val="3"/>
        <w:numPr>
          <w:ilvl w:val="1"/>
          <w:numId w:val="4"/>
        </w:numPr>
        <w:spacing w:before="0" w:beforeAutospacing="0" w:after="159" w:afterLines="50" w:line="360" w:lineRule="auto"/>
        <w:rPr>
          <w:rFonts w:ascii="黑体" w:hAnsi="黑体" w:eastAsia="黑体"/>
          <w:b w:val="0"/>
          <w:kern w:val="0"/>
          <w:sz w:val="21"/>
          <w:szCs w:val="21"/>
        </w:rPr>
      </w:pPr>
      <w:bookmarkStart w:id="71" w:name="_Toc14275"/>
      <w:bookmarkStart w:id="72" w:name="_Toc47358587"/>
      <w:bookmarkStart w:id="73" w:name="_Toc23404640"/>
      <w:bookmarkStart w:id="74" w:name="_Ref21457"/>
      <w:r>
        <w:rPr>
          <w:rFonts w:hint="eastAsia" w:ascii="黑体" w:hAnsi="黑体" w:eastAsia="黑体"/>
          <w:b w:val="0"/>
          <w:kern w:val="0"/>
          <w:sz w:val="21"/>
          <w:szCs w:val="21"/>
        </w:rPr>
        <w:t xml:space="preserve"> 仪器条件</w:t>
      </w:r>
      <w:bookmarkEnd w:id="71"/>
      <w:bookmarkEnd w:id="72"/>
      <w:bookmarkEnd w:id="73"/>
      <w:bookmarkEnd w:id="74"/>
    </w:p>
    <w:p>
      <w:pPr>
        <w:spacing w:before="0" w:beforeAutospacing="0"/>
        <w:rPr>
          <w:rFonts w:ascii="Times New Roman" w:hAnsi="Times New Roman"/>
          <w:kern w:val="0"/>
        </w:rPr>
      </w:pPr>
      <w:r>
        <w:rPr>
          <w:rFonts w:hint="eastAsia" w:ascii="Times New Roman" w:hAnsi="Times New Roman"/>
          <w:kern w:val="0"/>
        </w:rPr>
        <w:t>7.1.1</w:t>
      </w:r>
      <w:r>
        <w:rPr>
          <w:rFonts w:ascii="Times New Roman" w:hAnsi="Times New Roman"/>
          <w:kern w:val="0"/>
        </w:rPr>
        <w:t xml:space="preserve"> </w:t>
      </w:r>
      <w:r>
        <w:rPr>
          <w:rFonts w:hint="eastAsia" w:ascii="Times New Roman" w:hAnsi="Times New Roman"/>
          <w:kern w:val="0"/>
        </w:rPr>
        <w:t>液相色谱参考条件如下</w:t>
      </w:r>
      <w:r>
        <w:rPr>
          <w:rFonts w:ascii="Times New Roman" w:hAnsi="Times New Roman"/>
          <w:kern w:val="0"/>
        </w:rPr>
        <w:t>：</w:t>
      </w:r>
    </w:p>
    <w:p>
      <w:pPr>
        <w:numPr>
          <w:ilvl w:val="0"/>
          <w:numId w:val="5"/>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流动相：纯水和甲醇（</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_Ref12827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4.3</w:t>
      </w:r>
      <w:r>
        <w:rPr>
          <w:rFonts w:ascii="Times New Roman" w:hAnsi="Times New Roman"/>
          <w:kern w:val="0"/>
        </w:rPr>
        <w:fldChar w:fldCharType="end"/>
      </w:r>
      <w:r>
        <w:rPr>
          <w:rFonts w:hint="eastAsia" w:ascii="Times New Roman" w:hAnsi="Times New Roman"/>
          <w:kern w:val="0"/>
        </w:rPr>
        <w:t>），浓度及流速可参考表1；</w:t>
      </w:r>
    </w:p>
    <w:p>
      <w:pPr>
        <w:numPr>
          <w:ilvl w:val="0"/>
          <w:numId w:val="5"/>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柱温：40℃；</w:t>
      </w:r>
    </w:p>
    <w:p>
      <w:pPr>
        <w:numPr>
          <w:ilvl w:val="0"/>
          <w:numId w:val="5"/>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进样量：直接进样为100</w:t>
      </w:r>
      <w:r>
        <w:rPr>
          <w:rFonts w:ascii="Times New Roman" w:hAnsi="Times New Roman"/>
          <w:kern w:val="0"/>
        </w:rPr>
        <w:t xml:space="preserve"> μ</w:t>
      </w:r>
      <w:r>
        <w:rPr>
          <w:rFonts w:hint="eastAsia" w:ascii="Times New Roman" w:hAnsi="Times New Roman"/>
          <w:kern w:val="0"/>
        </w:rPr>
        <w:t>L；固相萃取浓缩后进样为10</w:t>
      </w:r>
      <w:r>
        <w:rPr>
          <w:rFonts w:ascii="Times New Roman" w:hAnsi="Times New Roman"/>
          <w:kern w:val="0"/>
        </w:rPr>
        <w:t xml:space="preserve"> μ</w:t>
      </w:r>
      <w:r>
        <w:rPr>
          <w:rFonts w:hint="eastAsia" w:ascii="Times New Roman" w:hAnsi="Times New Roman"/>
          <w:kern w:val="0"/>
        </w:rPr>
        <w:t>L；</w:t>
      </w:r>
    </w:p>
    <w:p>
      <w:pPr>
        <w:numPr>
          <w:ilvl w:val="0"/>
          <w:numId w:val="5"/>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荧光检测器：激发波长为330</w:t>
      </w:r>
      <w:r>
        <w:rPr>
          <w:rFonts w:ascii="Times New Roman" w:hAnsi="Times New Roman"/>
          <w:kern w:val="0"/>
        </w:rPr>
        <w:t xml:space="preserve"> </w:t>
      </w:r>
      <w:r>
        <w:rPr>
          <w:rFonts w:hint="eastAsia" w:ascii="Times New Roman" w:hAnsi="Times New Roman"/>
          <w:kern w:val="0"/>
        </w:rPr>
        <w:t>nm；发射波长为465</w:t>
      </w:r>
      <w:r>
        <w:rPr>
          <w:rFonts w:ascii="Times New Roman" w:hAnsi="Times New Roman"/>
          <w:kern w:val="0"/>
        </w:rPr>
        <w:t xml:space="preserve"> </w:t>
      </w:r>
      <w:r>
        <w:rPr>
          <w:rFonts w:hint="eastAsia" w:ascii="Times New Roman" w:hAnsi="Times New Roman"/>
          <w:kern w:val="0"/>
        </w:rPr>
        <w:t>nm；</w:t>
      </w:r>
    </w:p>
    <w:p>
      <w:pPr>
        <w:numPr>
          <w:ilvl w:val="0"/>
          <w:numId w:val="5"/>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后运行时间：3</w:t>
      </w:r>
      <w:r>
        <w:rPr>
          <w:rFonts w:ascii="Times New Roman" w:hAnsi="Times New Roman"/>
          <w:kern w:val="0"/>
        </w:rPr>
        <w:t xml:space="preserve"> </w:t>
      </w:r>
      <w:r>
        <w:rPr>
          <w:rFonts w:hint="eastAsia" w:ascii="Times New Roman" w:hAnsi="Times New Roman"/>
          <w:kern w:val="0"/>
        </w:rPr>
        <w:t>min。</w:t>
      </w:r>
    </w:p>
    <w:p>
      <w:pPr>
        <w:tabs>
          <w:tab w:val="left" w:pos="0"/>
        </w:tabs>
        <w:spacing w:before="159" w:beforeLines="50" w:beforeAutospacing="0" w:after="159" w:afterLines="50" w:line="560" w:lineRule="exact"/>
        <w:jc w:val="center"/>
        <w:rPr>
          <w:rFonts w:ascii="Times New Roman" w:hAnsi="Times New Roman" w:eastAsia="黑体"/>
          <w:bCs/>
          <w:kern w:val="0"/>
        </w:rPr>
      </w:pPr>
      <w:r>
        <w:rPr>
          <w:rFonts w:hint="eastAsia" w:ascii="Times New Roman" w:hAnsi="Times New Roman" w:eastAsia="黑体"/>
          <w:bCs/>
          <w:kern w:val="0"/>
        </w:rPr>
        <w:t>表1 流动相浓度与流速</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894"/>
        <w:gridCol w:w="1894"/>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1" w:type="dxa"/>
            <w:tcBorders>
              <w:top w:val="single" w:color="auto" w:sz="12" w:space="0"/>
              <w:left w:val="single" w:color="auto" w:sz="12" w:space="0"/>
              <w:bottom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时间（min）</w:t>
            </w:r>
          </w:p>
        </w:tc>
        <w:tc>
          <w:tcPr>
            <w:tcW w:w="1894" w:type="dxa"/>
            <w:tcBorders>
              <w:top w:val="single" w:color="auto" w:sz="12" w:space="0"/>
              <w:bottom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水（%）</w:t>
            </w:r>
          </w:p>
        </w:tc>
        <w:tc>
          <w:tcPr>
            <w:tcW w:w="1894" w:type="dxa"/>
            <w:tcBorders>
              <w:top w:val="single" w:color="auto" w:sz="12" w:space="0"/>
              <w:bottom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甲醇（%）</w:t>
            </w:r>
          </w:p>
        </w:tc>
        <w:tc>
          <w:tcPr>
            <w:tcW w:w="1899" w:type="dxa"/>
            <w:tcBorders>
              <w:top w:val="single" w:color="auto" w:sz="12" w:space="0"/>
              <w:bottom w:val="single" w:color="auto" w:sz="12" w:space="0"/>
              <w:righ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流速（mL/min）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601" w:type="dxa"/>
            <w:tcBorders>
              <w:top w:val="single" w:color="auto" w:sz="12" w:space="0"/>
              <w:lef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p>
        </w:tc>
        <w:tc>
          <w:tcPr>
            <w:tcW w:w="1894" w:type="dxa"/>
            <w:tcBorders>
              <w:top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85</w:t>
            </w:r>
          </w:p>
        </w:tc>
        <w:tc>
          <w:tcPr>
            <w:tcW w:w="1894" w:type="dxa"/>
            <w:tcBorders>
              <w:top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1899" w:type="dxa"/>
            <w:tcBorders>
              <w:top w:val="single" w:color="auto" w:sz="12" w:space="0"/>
              <w:righ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1" w:type="dxa"/>
            <w:tcBorders>
              <w:lef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75</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25</w:t>
            </w:r>
          </w:p>
        </w:tc>
        <w:tc>
          <w:tcPr>
            <w:tcW w:w="1899" w:type="dxa"/>
            <w:tcBorders>
              <w:righ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1" w:type="dxa"/>
            <w:tcBorders>
              <w:lef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8</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75</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25</w:t>
            </w:r>
          </w:p>
        </w:tc>
        <w:tc>
          <w:tcPr>
            <w:tcW w:w="1899" w:type="dxa"/>
            <w:tcBorders>
              <w:righ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1" w:type="dxa"/>
            <w:tcBorders>
              <w:lef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9</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60</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40</w:t>
            </w:r>
          </w:p>
        </w:tc>
        <w:tc>
          <w:tcPr>
            <w:tcW w:w="1899" w:type="dxa"/>
            <w:tcBorders>
              <w:righ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1" w:type="dxa"/>
            <w:tcBorders>
              <w:lef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55</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45</w:t>
            </w:r>
          </w:p>
        </w:tc>
        <w:tc>
          <w:tcPr>
            <w:tcW w:w="1899" w:type="dxa"/>
            <w:tcBorders>
              <w:righ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1" w:type="dxa"/>
            <w:tcBorders>
              <w:lef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19</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20</w:t>
            </w:r>
          </w:p>
        </w:tc>
        <w:tc>
          <w:tcPr>
            <w:tcW w:w="1894" w:type="dxa"/>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80</w:t>
            </w:r>
          </w:p>
        </w:tc>
        <w:tc>
          <w:tcPr>
            <w:tcW w:w="1899" w:type="dxa"/>
            <w:tcBorders>
              <w:righ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1" w:type="dxa"/>
            <w:tcBorders>
              <w:left w:val="single" w:color="auto" w:sz="12" w:space="0"/>
              <w:bottom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20</w:t>
            </w:r>
          </w:p>
        </w:tc>
        <w:tc>
          <w:tcPr>
            <w:tcW w:w="1894" w:type="dxa"/>
            <w:tcBorders>
              <w:bottom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85</w:t>
            </w:r>
          </w:p>
        </w:tc>
        <w:tc>
          <w:tcPr>
            <w:tcW w:w="1894" w:type="dxa"/>
            <w:tcBorders>
              <w:bottom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1899" w:type="dxa"/>
            <w:tcBorders>
              <w:right w:val="single" w:color="auto" w:sz="12" w:space="0"/>
            </w:tcBorders>
          </w:tcPr>
          <w:p>
            <w:pPr>
              <w:tabs>
                <w:tab w:val="left" w:pos="0"/>
              </w:tabs>
              <w:spacing w:before="0" w:beforeAutospacing="0" w:line="36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290" w:type="dxa"/>
            <w:gridSpan w:val="4"/>
            <w:tcBorders>
              <w:top w:val="single" w:color="auto" w:sz="12" w:space="0"/>
              <w:left w:val="single" w:color="auto" w:sz="12" w:space="0"/>
              <w:bottom w:val="single" w:color="auto" w:sz="12" w:space="0"/>
              <w:right w:val="single" w:color="auto" w:sz="12" w:space="0"/>
            </w:tcBorders>
            <w:vAlign w:val="center"/>
          </w:tcPr>
          <w:p>
            <w:pPr>
              <w:tabs>
                <w:tab w:val="left" w:pos="0"/>
              </w:tabs>
              <w:spacing w:before="0" w:beforeAutospacing="0" w:line="360" w:lineRule="auto"/>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注：表中纯水和甲醇（</w:t>
            </w:r>
            <w:r>
              <w:rPr>
                <w:rFonts w:asciiTheme="minorEastAsia" w:hAnsiTheme="minorEastAsia" w:eastAsiaTheme="minorEastAsia"/>
                <w:kern w:val="0"/>
                <w:sz w:val="18"/>
                <w:szCs w:val="18"/>
              </w:rPr>
              <w:fldChar w:fldCharType="begin"/>
            </w:r>
            <w:r>
              <w:rPr>
                <w:rFonts w:asciiTheme="minorEastAsia" w:hAnsiTheme="minorEastAsia" w:eastAsiaTheme="minorEastAsia"/>
                <w:kern w:val="0"/>
                <w:sz w:val="18"/>
                <w:szCs w:val="18"/>
              </w:rPr>
              <w:instrText xml:space="preserve"> </w:instrText>
            </w:r>
            <w:r>
              <w:rPr>
                <w:rFonts w:hint="eastAsia" w:asciiTheme="minorEastAsia" w:hAnsiTheme="minorEastAsia" w:eastAsiaTheme="minorEastAsia"/>
                <w:kern w:val="0"/>
                <w:sz w:val="18"/>
                <w:szCs w:val="18"/>
              </w:rPr>
              <w:instrText xml:space="preserve">REF _Ref12827 \r \h</w:instrText>
            </w:r>
            <w:r>
              <w:rPr>
                <w:rFonts w:asciiTheme="minorEastAsia" w:hAnsiTheme="minorEastAsia" w:eastAsiaTheme="minorEastAsia"/>
                <w:kern w:val="0"/>
                <w:sz w:val="18"/>
                <w:szCs w:val="18"/>
              </w:rPr>
              <w:instrText xml:space="preserve">  \* MERGEFORMAT </w:instrText>
            </w:r>
            <w:r>
              <w:rPr>
                <w:rFonts w:asciiTheme="minorEastAsia" w:hAnsiTheme="minorEastAsia" w:eastAsiaTheme="minorEastAsia"/>
                <w:kern w:val="0"/>
                <w:sz w:val="18"/>
                <w:szCs w:val="18"/>
              </w:rPr>
              <w:fldChar w:fldCharType="separate"/>
            </w:r>
            <w:r>
              <w:rPr>
                <w:rFonts w:asciiTheme="minorEastAsia" w:hAnsiTheme="minorEastAsia" w:eastAsiaTheme="minorEastAsia"/>
                <w:kern w:val="0"/>
                <w:sz w:val="18"/>
                <w:szCs w:val="18"/>
              </w:rPr>
              <w:t>4.3</w:t>
            </w:r>
            <w:r>
              <w:rPr>
                <w:rFonts w:asciiTheme="minorEastAsia" w:hAnsiTheme="minorEastAsia" w:eastAsiaTheme="minorEastAsia"/>
                <w:kern w:val="0"/>
                <w:sz w:val="18"/>
                <w:szCs w:val="18"/>
              </w:rPr>
              <w:fldChar w:fldCharType="end"/>
            </w:r>
            <w:r>
              <w:rPr>
                <w:rFonts w:hint="eastAsia" w:asciiTheme="minorEastAsia" w:hAnsiTheme="minorEastAsia" w:eastAsiaTheme="minorEastAsia"/>
                <w:kern w:val="0"/>
                <w:sz w:val="18"/>
                <w:szCs w:val="18"/>
              </w:rPr>
              <w:t>）的含量为体积分数。</w:t>
            </w:r>
          </w:p>
        </w:tc>
      </w:tr>
    </w:tbl>
    <w:p>
      <w:pPr>
        <w:spacing w:before="318" w:beforeLines="100" w:beforeAutospacing="0"/>
        <w:rPr>
          <w:rFonts w:ascii="黑体" w:hAnsi="黑体" w:eastAsia="黑体"/>
          <w:kern w:val="0"/>
        </w:rPr>
      </w:pPr>
      <w:r>
        <w:rPr>
          <w:rFonts w:hint="eastAsia" w:ascii="Times New Roman" w:hAnsi="Times New Roman"/>
          <w:kern w:val="0"/>
        </w:rPr>
        <w:t>7.1.2</w:t>
      </w:r>
      <w:r>
        <w:rPr>
          <w:rFonts w:ascii="Times New Roman" w:hAnsi="Times New Roman"/>
          <w:kern w:val="0"/>
        </w:rPr>
        <w:t xml:space="preserve"> </w:t>
      </w:r>
      <w:r>
        <w:rPr>
          <w:rFonts w:hint="eastAsia" w:ascii="Times New Roman" w:hAnsi="Times New Roman"/>
          <w:kern w:val="0"/>
        </w:rPr>
        <w:t>柱后衍生参考条件如下</w:t>
      </w:r>
      <w:r>
        <w:rPr>
          <w:rFonts w:ascii="Times New Roman" w:hAnsi="Times New Roman"/>
          <w:kern w:val="0"/>
        </w:rPr>
        <w:t>：</w:t>
      </w:r>
    </w:p>
    <w:p>
      <w:pPr>
        <w:numPr>
          <w:ilvl w:val="0"/>
          <w:numId w:val="6"/>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水解试剂（</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_Ref47358874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4.16</w:t>
      </w:r>
      <w:r>
        <w:rPr>
          <w:rFonts w:ascii="Times New Roman" w:hAnsi="Times New Roman"/>
          <w:kern w:val="0"/>
        </w:rPr>
        <w:fldChar w:fldCharType="end"/>
      </w:r>
      <w:r>
        <w:rPr>
          <w:rFonts w:hint="eastAsia" w:ascii="Times New Roman" w:hAnsi="Times New Roman"/>
          <w:kern w:val="0"/>
        </w:rPr>
        <w:t>）：0.30</w:t>
      </w:r>
      <w:r>
        <w:rPr>
          <w:rFonts w:ascii="Times New Roman" w:hAnsi="Times New Roman"/>
          <w:kern w:val="0"/>
        </w:rPr>
        <w:t xml:space="preserve"> </w:t>
      </w:r>
      <w:r>
        <w:rPr>
          <w:rFonts w:hint="eastAsia" w:ascii="Times New Roman" w:hAnsi="Times New Roman"/>
          <w:kern w:val="0"/>
        </w:rPr>
        <w:t>mL/min；</w:t>
      </w:r>
    </w:p>
    <w:p>
      <w:pPr>
        <w:numPr>
          <w:ilvl w:val="0"/>
          <w:numId w:val="6"/>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水解温度：100℃；</w:t>
      </w:r>
    </w:p>
    <w:p>
      <w:pPr>
        <w:numPr>
          <w:ilvl w:val="0"/>
          <w:numId w:val="6"/>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水解线圈体积：0.50</w:t>
      </w:r>
      <w:r>
        <w:rPr>
          <w:rFonts w:ascii="Times New Roman" w:hAnsi="Times New Roman"/>
          <w:kern w:val="0"/>
        </w:rPr>
        <w:t xml:space="preserve"> </w:t>
      </w:r>
      <w:r>
        <w:rPr>
          <w:rFonts w:hint="eastAsia" w:ascii="Times New Roman" w:hAnsi="Times New Roman"/>
          <w:kern w:val="0"/>
        </w:rPr>
        <w:t>mL；</w:t>
      </w:r>
    </w:p>
    <w:p>
      <w:pPr>
        <w:numPr>
          <w:ilvl w:val="0"/>
          <w:numId w:val="6"/>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反应试剂（</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_Ref47358887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4.17</w:t>
      </w:r>
      <w:r>
        <w:rPr>
          <w:rFonts w:ascii="Times New Roman" w:hAnsi="Times New Roman"/>
          <w:kern w:val="0"/>
        </w:rPr>
        <w:fldChar w:fldCharType="end"/>
      </w:r>
      <w:r>
        <w:rPr>
          <w:rFonts w:hint="eastAsia" w:ascii="Times New Roman" w:hAnsi="Times New Roman"/>
          <w:kern w:val="0"/>
        </w:rPr>
        <w:t>）：0.30</w:t>
      </w:r>
      <w:r>
        <w:rPr>
          <w:rFonts w:ascii="Times New Roman" w:hAnsi="Times New Roman"/>
          <w:kern w:val="0"/>
        </w:rPr>
        <w:t xml:space="preserve"> </w:t>
      </w:r>
      <w:r>
        <w:rPr>
          <w:rFonts w:hint="eastAsia" w:ascii="Times New Roman" w:hAnsi="Times New Roman"/>
          <w:kern w:val="0"/>
        </w:rPr>
        <w:t>mL/min；</w:t>
      </w:r>
    </w:p>
    <w:p>
      <w:pPr>
        <w:numPr>
          <w:ilvl w:val="0"/>
          <w:numId w:val="6"/>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反应温度：室温；</w:t>
      </w:r>
    </w:p>
    <w:p>
      <w:pPr>
        <w:numPr>
          <w:ilvl w:val="0"/>
          <w:numId w:val="6"/>
        </w:numPr>
        <w:tabs>
          <w:tab w:val="left" w:pos="0"/>
        </w:tabs>
        <w:spacing w:before="0" w:beforeAutospacing="0" w:line="360" w:lineRule="auto"/>
        <w:ind w:left="0" w:firstLine="420" w:firstLineChars="200"/>
        <w:rPr>
          <w:rFonts w:ascii="Times New Roman" w:hAnsi="Times New Roman"/>
          <w:kern w:val="0"/>
        </w:rPr>
      </w:pPr>
      <w:r>
        <w:rPr>
          <w:rFonts w:hint="eastAsia" w:ascii="Times New Roman" w:hAnsi="Times New Roman"/>
          <w:kern w:val="0"/>
        </w:rPr>
        <w:t>反应线圈体积：0.10</w:t>
      </w:r>
      <w:r>
        <w:rPr>
          <w:rFonts w:ascii="Times New Roman" w:hAnsi="Times New Roman"/>
          <w:kern w:val="0"/>
        </w:rPr>
        <w:t xml:space="preserve"> </w:t>
      </w:r>
      <w:r>
        <w:rPr>
          <w:rFonts w:hint="eastAsia" w:ascii="Times New Roman" w:hAnsi="Times New Roman"/>
          <w:kern w:val="0"/>
        </w:rPr>
        <w:t>mL。</w:t>
      </w:r>
    </w:p>
    <w:p>
      <w:pPr>
        <w:pStyle w:val="3"/>
        <w:numPr>
          <w:ilvl w:val="1"/>
          <w:numId w:val="4"/>
        </w:numPr>
        <w:spacing w:before="159" w:beforeLines="50" w:beforeAutospacing="0" w:after="159" w:afterLines="50" w:line="360" w:lineRule="auto"/>
        <w:rPr>
          <w:rFonts w:ascii="黑体" w:hAnsi="黑体" w:eastAsia="黑体"/>
          <w:b w:val="0"/>
          <w:kern w:val="0"/>
          <w:sz w:val="21"/>
          <w:szCs w:val="21"/>
        </w:rPr>
      </w:pPr>
      <w:bookmarkStart w:id="75" w:name="_Toc23404641"/>
      <w:bookmarkStart w:id="76" w:name="_Toc319"/>
      <w:bookmarkStart w:id="77" w:name="_Toc47358588"/>
      <w:r>
        <w:rPr>
          <w:rFonts w:hint="eastAsia" w:ascii="黑体" w:hAnsi="黑体" w:eastAsia="黑体"/>
          <w:b w:val="0"/>
          <w:kern w:val="0"/>
          <w:sz w:val="21"/>
          <w:szCs w:val="21"/>
        </w:rPr>
        <w:t xml:space="preserve"> 校准曲线</w:t>
      </w:r>
      <w:bookmarkEnd w:id="75"/>
      <w:bookmarkEnd w:id="76"/>
      <w:r>
        <w:rPr>
          <w:rFonts w:hint="eastAsia" w:ascii="黑体" w:hAnsi="黑体" w:eastAsia="黑体"/>
          <w:b w:val="0"/>
          <w:kern w:val="0"/>
          <w:sz w:val="21"/>
          <w:szCs w:val="21"/>
        </w:rPr>
        <w:t>绘制</w:t>
      </w:r>
      <w:bookmarkEnd w:id="77"/>
    </w:p>
    <w:p>
      <w:pPr>
        <w:tabs>
          <w:tab w:val="left" w:pos="0"/>
        </w:tabs>
        <w:spacing w:before="0" w:beforeAutospacing="0" w:line="360" w:lineRule="auto"/>
        <w:ind w:firstLine="420" w:firstLineChars="200"/>
        <w:rPr>
          <w:rFonts w:ascii="Times New Roman" w:hAnsi="Times New Roman"/>
          <w:kern w:val="0"/>
        </w:rPr>
      </w:pPr>
      <w:r>
        <w:rPr>
          <w:rFonts w:hint="eastAsia" w:ascii="Times New Roman" w:hAnsi="Times New Roman"/>
          <w:kern w:val="0"/>
        </w:rPr>
        <w:t>取6支10</w:t>
      </w:r>
      <w:r>
        <w:rPr>
          <w:rFonts w:ascii="Times New Roman" w:hAnsi="Times New Roman"/>
          <w:kern w:val="0"/>
        </w:rPr>
        <w:t xml:space="preserve"> </w:t>
      </w:r>
      <w:r>
        <w:rPr>
          <w:rFonts w:hint="eastAsia" w:ascii="Times New Roman" w:hAnsi="Times New Roman"/>
          <w:kern w:val="0"/>
        </w:rPr>
        <w:t>mL容量瓶，分别加入0.10</w:t>
      </w:r>
      <w:r>
        <w:rPr>
          <w:rFonts w:ascii="Times New Roman" w:hAnsi="Times New Roman"/>
          <w:kern w:val="0"/>
        </w:rPr>
        <w:t xml:space="preserve"> </w:t>
      </w:r>
      <w:r>
        <w:rPr>
          <w:rFonts w:hint="eastAsia" w:ascii="Times New Roman" w:hAnsi="Times New Roman"/>
          <w:kern w:val="0"/>
        </w:rPr>
        <w:t>mL、0.20</w:t>
      </w:r>
      <w:r>
        <w:rPr>
          <w:rFonts w:ascii="Times New Roman" w:hAnsi="Times New Roman"/>
          <w:kern w:val="0"/>
        </w:rPr>
        <w:t xml:space="preserve"> </w:t>
      </w:r>
      <w:r>
        <w:rPr>
          <w:rFonts w:hint="eastAsia" w:ascii="Times New Roman" w:hAnsi="Times New Roman"/>
          <w:kern w:val="0"/>
        </w:rPr>
        <w:t>mL、0.40</w:t>
      </w:r>
      <w:r>
        <w:rPr>
          <w:rFonts w:ascii="Times New Roman" w:hAnsi="Times New Roman"/>
          <w:kern w:val="0"/>
        </w:rPr>
        <w:t xml:space="preserve"> </w:t>
      </w:r>
      <w:r>
        <w:rPr>
          <w:rFonts w:hint="eastAsia" w:ascii="Times New Roman" w:hAnsi="Times New Roman"/>
          <w:kern w:val="0"/>
        </w:rPr>
        <w:t>mL、0.80</w:t>
      </w:r>
      <w:r>
        <w:rPr>
          <w:rFonts w:ascii="Times New Roman" w:hAnsi="Times New Roman"/>
          <w:kern w:val="0"/>
        </w:rPr>
        <w:t xml:space="preserve"> </w:t>
      </w:r>
      <w:r>
        <w:rPr>
          <w:rFonts w:hint="eastAsia" w:ascii="Times New Roman" w:hAnsi="Times New Roman"/>
          <w:kern w:val="0"/>
        </w:rPr>
        <w:t>mL、1.60</w:t>
      </w:r>
      <w:r>
        <w:rPr>
          <w:rFonts w:ascii="Times New Roman" w:hAnsi="Times New Roman"/>
          <w:kern w:val="0"/>
        </w:rPr>
        <w:t xml:space="preserve"> </w:t>
      </w:r>
      <w:r>
        <w:rPr>
          <w:rFonts w:hint="eastAsia" w:ascii="Times New Roman" w:hAnsi="Times New Roman"/>
          <w:kern w:val="0"/>
        </w:rPr>
        <w:t>mL、2.00</w:t>
      </w:r>
      <w:r>
        <w:rPr>
          <w:rFonts w:ascii="Times New Roman" w:hAnsi="Times New Roman"/>
          <w:kern w:val="0"/>
        </w:rPr>
        <w:t xml:space="preserve"> </w:t>
      </w:r>
      <w:r>
        <w:rPr>
          <w:rFonts w:hint="eastAsia" w:ascii="Times New Roman" w:hAnsi="Times New Roman"/>
          <w:kern w:val="0"/>
        </w:rPr>
        <w:t>mL涕灭威、克百威、甲萘威混合标准使用液（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_Ref20693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4.22</w:t>
      </w:r>
      <w:r>
        <w:rPr>
          <w:rFonts w:ascii="Times New Roman" w:hAnsi="Times New Roman"/>
          <w:kern w:val="0"/>
        </w:rPr>
        <w:fldChar w:fldCharType="end"/>
      </w:r>
      <w:r>
        <w:rPr>
          <w:rFonts w:hint="eastAsia" w:ascii="Times New Roman" w:hAnsi="Times New Roman"/>
          <w:kern w:val="0"/>
        </w:rPr>
        <w:t>），用甲醇溶液（</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_Ref29080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4.4</w:t>
      </w:r>
      <w:r>
        <w:rPr>
          <w:rFonts w:ascii="Times New Roman" w:hAnsi="Times New Roman"/>
          <w:kern w:val="0"/>
        </w:rPr>
        <w:fldChar w:fldCharType="end"/>
      </w:r>
      <w:r>
        <w:rPr>
          <w:rFonts w:hint="eastAsia" w:ascii="Times New Roman" w:hAnsi="Times New Roman"/>
          <w:kern w:val="0"/>
        </w:rPr>
        <w:t>）定容，混匀，配制成涕灭威、克百威、甲萘威的质量浓度为</w:t>
      </w:r>
      <w:r>
        <w:rPr>
          <w:rFonts w:ascii="Times New Roman" w:hAnsi="Times New Roman"/>
          <w:kern w:val="0"/>
        </w:rPr>
        <w:t>1.00 μ</w:t>
      </w:r>
      <w:r>
        <w:rPr>
          <w:rFonts w:hint="eastAsia" w:ascii="Times New Roman" w:hAnsi="Times New Roman"/>
          <w:kern w:val="0"/>
        </w:rPr>
        <w:t>g/L、</w:t>
      </w:r>
      <w:r>
        <w:rPr>
          <w:rFonts w:ascii="Times New Roman" w:hAnsi="Times New Roman"/>
          <w:kern w:val="0"/>
        </w:rPr>
        <w:t>2.00 μ</w:t>
      </w:r>
      <w:r>
        <w:rPr>
          <w:rFonts w:hint="eastAsia" w:ascii="Times New Roman" w:hAnsi="Times New Roman"/>
          <w:kern w:val="0"/>
        </w:rPr>
        <w:t>g/L、</w:t>
      </w:r>
      <w:r>
        <w:rPr>
          <w:rFonts w:ascii="Times New Roman" w:hAnsi="Times New Roman"/>
          <w:kern w:val="0"/>
        </w:rPr>
        <w:t>4.00 μ</w:t>
      </w:r>
      <w:r>
        <w:rPr>
          <w:rFonts w:hint="eastAsia" w:ascii="Times New Roman" w:hAnsi="Times New Roman"/>
          <w:kern w:val="0"/>
        </w:rPr>
        <w:t>g/L、</w:t>
      </w:r>
      <w:r>
        <w:rPr>
          <w:rFonts w:ascii="Times New Roman" w:hAnsi="Times New Roman"/>
          <w:kern w:val="0"/>
        </w:rPr>
        <w:t>8.00 μ</w:t>
      </w:r>
      <w:r>
        <w:rPr>
          <w:rFonts w:hint="eastAsia" w:ascii="Times New Roman" w:hAnsi="Times New Roman"/>
          <w:kern w:val="0"/>
        </w:rPr>
        <w:t>g/L、1</w:t>
      </w:r>
      <w:r>
        <w:rPr>
          <w:rFonts w:ascii="Times New Roman" w:hAnsi="Times New Roman"/>
          <w:kern w:val="0"/>
        </w:rPr>
        <w:t>6.</w:t>
      </w:r>
      <w:r>
        <w:rPr>
          <w:rFonts w:hint="eastAsia" w:ascii="Times New Roman" w:hAnsi="Times New Roman"/>
          <w:kern w:val="0"/>
        </w:rPr>
        <w:t>0</w:t>
      </w:r>
      <w:r>
        <w:rPr>
          <w:rFonts w:ascii="Times New Roman" w:hAnsi="Times New Roman"/>
          <w:kern w:val="0"/>
        </w:rPr>
        <w:t xml:space="preserve"> μ</w:t>
      </w:r>
      <w:r>
        <w:rPr>
          <w:rFonts w:hint="eastAsia" w:ascii="Times New Roman" w:hAnsi="Times New Roman"/>
          <w:kern w:val="0"/>
        </w:rPr>
        <w:t>g/L、20</w:t>
      </w:r>
      <w:r>
        <w:rPr>
          <w:rFonts w:ascii="Times New Roman" w:hAnsi="Times New Roman"/>
          <w:kern w:val="0"/>
        </w:rPr>
        <w:t>.</w:t>
      </w:r>
      <w:r>
        <w:rPr>
          <w:rFonts w:hint="eastAsia" w:ascii="Times New Roman" w:hAnsi="Times New Roman"/>
          <w:kern w:val="0"/>
        </w:rPr>
        <w:t>0</w:t>
      </w:r>
      <w:r>
        <w:rPr>
          <w:rFonts w:ascii="Times New Roman" w:hAnsi="Times New Roman"/>
          <w:kern w:val="0"/>
        </w:rPr>
        <w:t xml:space="preserve"> μ</w:t>
      </w:r>
      <w:r>
        <w:rPr>
          <w:rFonts w:hint="eastAsia" w:ascii="Times New Roman" w:hAnsi="Times New Roman"/>
          <w:kern w:val="0"/>
        </w:rPr>
        <w:t>g/L的标准系列溶液。按仪器条件（</w:t>
      </w:r>
      <w:r>
        <w:rPr>
          <w:rFonts w:ascii="Times New Roman" w:hAnsi="Times New Roman"/>
          <w:kern w:val="0"/>
        </w:rPr>
        <w:fldChar w:fldCharType="begin"/>
      </w:r>
      <w:r>
        <w:rPr>
          <w:rFonts w:ascii="Times New Roman" w:hAnsi="Times New Roman"/>
          <w:kern w:val="0"/>
        </w:rPr>
        <w:instrText xml:space="preserve"> </w:instrText>
      </w:r>
      <w:r>
        <w:rPr>
          <w:rFonts w:hint="eastAsia" w:ascii="Times New Roman" w:hAnsi="Times New Roman"/>
          <w:kern w:val="0"/>
        </w:rPr>
        <w:instrText xml:space="preserve">REF _Ref21457 \r \h</w:instrText>
      </w:r>
      <w:r>
        <w:rPr>
          <w:rFonts w:ascii="Times New Roman" w:hAnsi="Times New Roman"/>
          <w:kern w:val="0"/>
        </w:rPr>
        <w:instrText xml:space="preserve"> </w:instrText>
      </w:r>
      <w:r>
        <w:rPr>
          <w:rFonts w:ascii="Times New Roman" w:hAnsi="Times New Roman"/>
          <w:kern w:val="0"/>
        </w:rPr>
        <w:fldChar w:fldCharType="separate"/>
      </w:r>
      <w:r>
        <w:rPr>
          <w:rFonts w:ascii="Times New Roman" w:hAnsi="Times New Roman"/>
          <w:kern w:val="0"/>
        </w:rPr>
        <w:t>7.1</w:t>
      </w:r>
      <w:r>
        <w:rPr>
          <w:rFonts w:ascii="Times New Roman" w:hAnsi="Times New Roman"/>
          <w:kern w:val="0"/>
        </w:rPr>
        <w:fldChar w:fldCharType="end"/>
      </w:r>
      <w:r>
        <w:rPr>
          <w:rFonts w:hint="eastAsia" w:ascii="Times New Roman" w:hAnsi="Times New Roman"/>
          <w:kern w:val="0"/>
        </w:rPr>
        <w:t>）从低浓度到高浓度依次对标准系列溶液进行测试，以标准物质的进样质量（进样量</w:t>
      </w:r>
      <w:r>
        <w:rPr>
          <w:rFonts w:ascii="Times New Roman" w:hAnsi="Times New Roman"/>
          <w:kern w:val="0"/>
        </w:rPr>
        <w:t>×</w:t>
      </w:r>
      <w:r>
        <w:rPr>
          <w:rFonts w:hint="eastAsia" w:ascii="Times New Roman" w:hAnsi="Times New Roman"/>
          <w:kern w:val="0"/>
        </w:rPr>
        <w:t>质量浓度</w:t>
      </w:r>
      <w:r>
        <w:rPr>
          <w:rFonts w:ascii="Times New Roman" w:hAnsi="Times New Roman"/>
          <w:kern w:val="0"/>
        </w:rPr>
        <w:t>，ng</w:t>
      </w:r>
      <w:r>
        <w:rPr>
          <w:rFonts w:hint="eastAsia" w:ascii="Times New Roman" w:hAnsi="Times New Roman"/>
          <w:kern w:val="0"/>
        </w:rPr>
        <w:t>）为横坐标，对应的色谱峰面积（或峰高）为纵坐标，拟合校准曲线。</w:t>
      </w:r>
    </w:p>
    <w:p>
      <w:pPr>
        <w:pStyle w:val="3"/>
        <w:numPr>
          <w:ilvl w:val="1"/>
          <w:numId w:val="4"/>
        </w:numPr>
        <w:spacing w:before="159" w:beforeLines="50" w:beforeAutospacing="0" w:after="159" w:afterLines="50" w:line="360" w:lineRule="auto"/>
        <w:rPr>
          <w:rFonts w:ascii="黑体" w:hAnsi="黑体" w:eastAsia="黑体"/>
          <w:b w:val="0"/>
          <w:kern w:val="0"/>
          <w:sz w:val="21"/>
          <w:szCs w:val="21"/>
        </w:rPr>
      </w:pPr>
      <w:bookmarkStart w:id="78" w:name="_Toc673"/>
      <w:bookmarkStart w:id="79" w:name="_Toc23404642"/>
      <w:bookmarkStart w:id="80" w:name="_Toc47358589"/>
      <w:r>
        <w:rPr>
          <w:rFonts w:hint="eastAsia" w:ascii="黑体" w:hAnsi="黑体" w:eastAsia="黑体"/>
          <w:b w:val="0"/>
          <w:kern w:val="0"/>
          <w:sz w:val="21"/>
          <w:szCs w:val="21"/>
        </w:rPr>
        <w:t xml:space="preserve"> 样品测定</w:t>
      </w:r>
      <w:bookmarkEnd w:id="78"/>
      <w:bookmarkEnd w:id="79"/>
      <w:bookmarkEnd w:id="80"/>
    </w:p>
    <w:p>
      <w:pPr>
        <w:tabs>
          <w:tab w:val="left" w:pos="0"/>
        </w:tabs>
        <w:spacing w:before="0" w:beforeAutospacing="0" w:line="360" w:lineRule="auto"/>
        <w:rPr>
          <w:rFonts w:ascii="Times New Roman" w:hAnsi="Times New Roman"/>
          <w:kern w:val="0"/>
        </w:rPr>
      </w:pPr>
      <w:bookmarkStart w:id="81" w:name="_Toc23404643"/>
      <w:bookmarkStart w:id="82" w:name="_Toc2920"/>
      <w:r>
        <w:rPr>
          <w:rFonts w:hint="eastAsia" w:ascii="Times New Roman" w:hAnsi="Times New Roman"/>
          <w:kern w:val="0"/>
        </w:rPr>
        <w:t>7.3.1</w:t>
      </w:r>
      <w:r>
        <w:rPr>
          <w:rFonts w:ascii="Times New Roman" w:hAnsi="Times New Roman"/>
          <w:kern w:val="0"/>
        </w:rPr>
        <w:t xml:space="preserve"> </w:t>
      </w:r>
      <w:r>
        <w:rPr>
          <w:rFonts w:hint="eastAsia" w:ascii="Times New Roman" w:hAnsi="Times New Roman"/>
          <w:kern w:val="0"/>
        </w:rPr>
        <w:t>样品按照步骤</w:t>
      </w:r>
      <w:r>
        <w:rPr>
          <w:rFonts w:ascii="Times New Roman" w:hAnsi="Times New Roman"/>
          <w:kern w:val="0"/>
        </w:rPr>
        <w:t>（</w:t>
      </w:r>
      <w:r>
        <w:rPr>
          <w:rFonts w:hint="eastAsia" w:ascii="Times New Roman" w:hAnsi="Times New Roman"/>
          <w:kern w:val="0"/>
        </w:rPr>
        <w:t>6.2</w:t>
      </w:r>
      <w:r>
        <w:rPr>
          <w:rFonts w:ascii="Times New Roman" w:hAnsi="Times New Roman"/>
          <w:kern w:val="0"/>
        </w:rPr>
        <w:t>）</w:t>
      </w:r>
      <w:r>
        <w:rPr>
          <w:rFonts w:hint="eastAsia" w:ascii="Times New Roman" w:hAnsi="Times New Roman"/>
          <w:kern w:val="0"/>
        </w:rPr>
        <w:t>和仪器条件</w:t>
      </w:r>
      <w:r>
        <w:rPr>
          <w:rFonts w:ascii="Times New Roman" w:hAnsi="Times New Roman"/>
          <w:kern w:val="0"/>
        </w:rPr>
        <w:t>（</w:t>
      </w:r>
      <w:r>
        <w:rPr>
          <w:rFonts w:ascii="Times New Roman" w:hAnsi="Times New Roman"/>
          <w:kern w:val="0"/>
        </w:rPr>
        <w:fldChar w:fldCharType="begin"/>
      </w:r>
      <w:r>
        <w:rPr>
          <w:rFonts w:ascii="Times New Roman" w:hAnsi="Times New Roman"/>
          <w:kern w:val="0"/>
        </w:rPr>
        <w:instrText xml:space="preserve"> REF _Ref21457 \r \h </w:instrText>
      </w:r>
      <w:r>
        <w:rPr>
          <w:rFonts w:ascii="Times New Roman" w:hAnsi="Times New Roman"/>
          <w:kern w:val="0"/>
        </w:rPr>
        <w:fldChar w:fldCharType="separate"/>
      </w:r>
      <w:r>
        <w:rPr>
          <w:rFonts w:ascii="Times New Roman" w:hAnsi="Times New Roman"/>
          <w:kern w:val="0"/>
        </w:rPr>
        <w:t>7.1</w:t>
      </w:r>
      <w:r>
        <w:rPr>
          <w:rFonts w:ascii="Times New Roman" w:hAnsi="Times New Roman"/>
          <w:kern w:val="0"/>
        </w:rPr>
        <w:fldChar w:fldCharType="end"/>
      </w:r>
      <w:r>
        <w:rPr>
          <w:rFonts w:ascii="Times New Roman" w:hAnsi="Times New Roman"/>
          <w:kern w:val="0"/>
        </w:rPr>
        <w:t>）</w:t>
      </w:r>
      <w:r>
        <w:rPr>
          <w:rFonts w:hint="eastAsia" w:ascii="Times New Roman" w:hAnsi="Times New Roman"/>
          <w:kern w:val="0"/>
        </w:rPr>
        <w:t>进行制备</w:t>
      </w:r>
      <w:r>
        <w:rPr>
          <w:rFonts w:ascii="Times New Roman" w:hAnsi="Times New Roman"/>
          <w:kern w:val="0"/>
        </w:rPr>
        <w:t>、测定</w:t>
      </w:r>
      <w:r>
        <w:rPr>
          <w:rFonts w:hint="eastAsia" w:ascii="Times New Roman" w:hAnsi="Times New Roman"/>
          <w:kern w:val="0"/>
        </w:rPr>
        <w:t>。</w:t>
      </w:r>
    </w:p>
    <w:p>
      <w:pPr>
        <w:tabs>
          <w:tab w:val="left" w:pos="0"/>
        </w:tabs>
        <w:spacing w:before="0" w:beforeAutospacing="0" w:line="360" w:lineRule="auto"/>
        <w:rPr>
          <w:rFonts w:ascii="Times New Roman" w:hAnsi="Times New Roman"/>
          <w:kern w:val="0"/>
        </w:rPr>
      </w:pPr>
      <w:r>
        <w:rPr>
          <w:rFonts w:ascii="Times New Roman" w:hAnsi="Times New Roman"/>
          <w:kern w:val="0"/>
        </w:rPr>
        <w:t xml:space="preserve">7.3.2 </w:t>
      </w:r>
      <w:r>
        <w:rPr>
          <w:rFonts w:hint="eastAsia" w:ascii="Times New Roman" w:hAnsi="Times New Roman"/>
          <w:kern w:val="0"/>
        </w:rPr>
        <w:t>水样浓度超出校准曲线线性范围时，应将水样稀释至校准曲线范围内再测定。</w:t>
      </w:r>
    </w:p>
    <w:p>
      <w:pPr>
        <w:pStyle w:val="2"/>
        <w:numPr>
          <w:ilvl w:val="0"/>
          <w:numId w:val="1"/>
        </w:numPr>
        <w:spacing w:before="318" w:beforeLines="100" w:after="318" w:afterLines="100"/>
        <w:rPr>
          <w:rFonts w:ascii="Times New Roman" w:hAnsi="Times New Roman" w:eastAsia="黑体"/>
          <w:b w:val="0"/>
          <w:bCs/>
          <w:sz w:val="21"/>
        </w:rPr>
      </w:pPr>
      <w:bookmarkStart w:id="83" w:name="_Toc47358590"/>
      <w:r>
        <w:rPr>
          <w:rFonts w:ascii="Times New Roman" w:hAnsi="Times New Roman" w:eastAsia="黑体"/>
          <w:b w:val="0"/>
          <w:bCs/>
          <w:sz w:val="21"/>
        </w:rPr>
        <w:t xml:space="preserve"> </w:t>
      </w:r>
      <w:r>
        <w:rPr>
          <w:rFonts w:hint="eastAsia" w:ascii="Times New Roman" w:hAnsi="Times New Roman" w:eastAsia="黑体"/>
          <w:b w:val="0"/>
          <w:bCs/>
          <w:sz w:val="21"/>
        </w:rPr>
        <w:t>结果计算与表示</w:t>
      </w:r>
      <w:bookmarkEnd w:id="81"/>
      <w:bookmarkEnd w:id="82"/>
      <w:bookmarkEnd w:id="83"/>
    </w:p>
    <w:p>
      <w:pPr>
        <w:pStyle w:val="3"/>
        <w:spacing w:before="0" w:beforeAutospacing="0" w:after="159" w:afterLines="50" w:line="360" w:lineRule="auto"/>
        <w:rPr>
          <w:rFonts w:ascii="黑体" w:hAnsi="黑体" w:eastAsia="黑体"/>
          <w:b w:val="0"/>
          <w:kern w:val="0"/>
          <w:sz w:val="21"/>
          <w:szCs w:val="21"/>
        </w:rPr>
      </w:pPr>
      <w:bookmarkStart w:id="84" w:name="_Toc47358591"/>
      <w:bookmarkStart w:id="85" w:name="_Toc23404644"/>
      <w:bookmarkStart w:id="86" w:name="_Toc5889"/>
      <w:r>
        <w:rPr>
          <w:rFonts w:hint="eastAsia" w:ascii="黑体" w:hAnsi="黑体" w:eastAsia="黑体"/>
          <w:b w:val="0"/>
          <w:kern w:val="0"/>
          <w:sz w:val="21"/>
          <w:szCs w:val="21"/>
        </w:rPr>
        <w:t>8.1</w:t>
      </w:r>
      <w:r>
        <w:rPr>
          <w:rFonts w:ascii="黑体" w:hAnsi="黑体" w:eastAsia="黑体"/>
          <w:b w:val="0"/>
          <w:kern w:val="0"/>
          <w:sz w:val="21"/>
          <w:szCs w:val="21"/>
        </w:rPr>
        <w:t xml:space="preserve"> </w:t>
      </w:r>
      <w:r>
        <w:rPr>
          <w:rFonts w:hint="eastAsia" w:ascii="黑体" w:hAnsi="黑体" w:eastAsia="黑体"/>
          <w:b w:val="0"/>
          <w:kern w:val="0"/>
          <w:sz w:val="21"/>
          <w:szCs w:val="21"/>
        </w:rPr>
        <w:t>定性分析</w:t>
      </w:r>
      <w:bookmarkEnd w:id="84"/>
      <w:bookmarkEnd w:id="85"/>
      <w:bookmarkEnd w:id="86"/>
    </w:p>
    <w:p>
      <w:pPr>
        <w:tabs>
          <w:tab w:val="left" w:pos="0"/>
        </w:tabs>
        <w:spacing w:before="0" w:beforeAutospacing="0" w:line="360" w:lineRule="auto"/>
        <w:ind w:firstLine="420" w:firstLineChars="200"/>
        <w:rPr>
          <w:rFonts w:ascii="Times New Roman" w:hAnsi="Times New Roman"/>
          <w:kern w:val="0"/>
        </w:rPr>
      </w:pPr>
      <w:r>
        <w:rPr>
          <w:rFonts w:hint="eastAsia" w:ascii="Times New Roman" w:hAnsi="Times New Roman"/>
          <w:kern w:val="0"/>
        </w:rPr>
        <w:t>根据水样中目标化合物与标准系列中目标化合物的保留时间，对目标化合物进行定性。</w:t>
      </w:r>
    </w:p>
    <w:p>
      <w:pPr>
        <w:tabs>
          <w:tab w:val="left" w:pos="0"/>
        </w:tabs>
        <w:spacing w:before="0" w:beforeAutospacing="0" w:line="360" w:lineRule="auto"/>
        <w:ind w:firstLine="420" w:firstLineChars="200"/>
        <w:rPr>
          <w:rFonts w:ascii="Times New Roman" w:hAnsi="Times New Roman"/>
          <w:kern w:val="0"/>
        </w:rPr>
      </w:pPr>
      <w:r>
        <w:rPr>
          <w:rFonts w:hint="eastAsia" w:ascii="Times New Roman" w:hAnsi="Times New Roman"/>
          <w:kern w:val="0"/>
        </w:rPr>
        <w:t>水样测定前，建立保留时间窗（t±3）s。t为标准系列溶液中目标化合物保留时间均值，s为标准系列溶液中目标化合物保留时间的标准偏差。水样测定时，保留时间窗内出峰即可认定为目标化合物。</w:t>
      </w:r>
    </w:p>
    <w:p>
      <w:pPr>
        <w:tabs>
          <w:tab w:val="left" w:pos="0"/>
        </w:tabs>
        <w:spacing w:before="0" w:beforeAutospacing="0" w:after="159" w:afterLines="50" w:line="360" w:lineRule="auto"/>
        <w:ind w:firstLine="420" w:firstLineChars="200"/>
        <w:rPr>
          <w:rFonts w:ascii="Times New Roman" w:hAnsi="Times New Roman"/>
          <w:kern w:val="0"/>
        </w:rPr>
      </w:pPr>
      <w:r>
        <w:rPr>
          <w:rFonts w:hint="eastAsia" w:ascii="Times New Roman" w:hAnsi="Times New Roman"/>
          <w:kern w:val="0"/>
        </w:rPr>
        <w:t>涕灭威、克百威和甲萘威混合标准溶液色谱图如图</w:t>
      </w:r>
      <w:r>
        <w:rPr>
          <w:rFonts w:ascii="Times New Roman" w:hAnsi="Times New Roman"/>
          <w:kern w:val="0"/>
        </w:rPr>
        <w:t>2</w:t>
      </w:r>
      <w:r>
        <w:rPr>
          <w:rFonts w:hint="eastAsia" w:ascii="Times New Roman" w:hAnsi="Times New Roman"/>
          <w:kern w:val="0"/>
        </w:rPr>
        <w:t>所示。</w:t>
      </w:r>
    </w:p>
    <w:p>
      <w:pPr>
        <w:tabs>
          <w:tab w:val="left" w:pos="0"/>
        </w:tabs>
        <w:spacing w:before="0" w:beforeAutospacing="0" w:line="360" w:lineRule="auto"/>
        <w:jc w:val="center"/>
      </w:pPr>
      <w:r>
        <w:drawing>
          <wp:inline distT="0" distB="0" distL="114300" distR="114300">
            <wp:extent cx="5080635" cy="175895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rcRect l="3766" t="7183" r="394" b="2151"/>
                    <a:stretch>
                      <a:fillRect/>
                    </a:stretch>
                  </pic:blipFill>
                  <pic:spPr>
                    <a:xfrm>
                      <a:off x="0" y="0"/>
                      <a:ext cx="5125424" cy="1774650"/>
                    </a:xfrm>
                    <a:prstGeom prst="rect">
                      <a:avLst/>
                    </a:prstGeom>
                    <a:noFill/>
                    <a:ln>
                      <a:noFill/>
                    </a:ln>
                  </pic:spPr>
                </pic:pic>
              </a:graphicData>
            </a:graphic>
          </wp:inline>
        </w:drawing>
      </w:r>
    </w:p>
    <w:p>
      <w:pPr>
        <w:tabs>
          <w:tab w:val="left" w:pos="0"/>
        </w:tabs>
        <w:spacing w:before="159" w:beforeLines="50" w:beforeAutospacing="0" w:after="159" w:afterLines="50" w:line="560" w:lineRule="exact"/>
        <w:jc w:val="center"/>
        <w:rPr>
          <w:rFonts w:ascii="Times New Roman" w:hAnsi="Times New Roman" w:eastAsia="黑体"/>
          <w:kern w:val="0"/>
        </w:rPr>
      </w:pPr>
      <w:r>
        <w:rPr>
          <w:rFonts w:hint="eastAsia" w:ascii="Times New Roman" w:hAnsi="Times New Roman" w:eastAsia="黑体"/>
          <w:kern w:val="0"/>
        </w:rPr>
        <w:t>图</w:t>
      </w:r>
      <w:r>
        <w:rPr>
          <w:rFonts w:ascii="Times New Roman" w:hAnsi="Times New Roman" w:eastAsia="黑体"/>
          <w:kern w:val="0"/>
        </w:rPr>
        <w:t>2</w:t>
      </w:r>
      <w:r>
        <w:rPr>
          <w:rFonts w:hint="eastAsia" w:ascii="Times New Roman" w:hAnsi="Times New Roman" w:eastAsia="黑体"/>
          <w:kern w:val="0"/>
        </w:rPr>
        <w:t xml:space="preserve"> 涕灭威、克百威和甲萘威混合标准溶液色谱图</w:t>
      </w:r>
    </w:p>
    <w:p>
      <w:pPr>
        <w:tabs>
          <w:tab w:val="left" w:pos="0"/>
        </w:tabs>
        <w:spacing w:before="0" w:beforeAutospacing="0" w:line="560" w:lineRule="exact"/>
        <w:ind w:firstLine="360" w:firstLineChars="200"/>
        <w:jc w:val="left"/>
        <w:rPr>
          <w:rFonts w:asciiTheme="minorEastAsia" w:hAnsiTheme="minorEastAsia" w:eastAsiaTheme="minorEastAsia"/>
          <w:kern w:val="0"/>
          <w:sz w:val="18"/>
          <w:szCs w:val="18"/>
        </w:rPr>
      </w:pPr>
      <w:r>
        <w:rPr>
          <w:rFonts w:hint="eastAsia" w:ascii="黑体" w:hAnsi="黑体" w:eastAsia="黑体"/>
          <w:kern w:val="0"/>
          <w:sz w:val="18"/>
          <w:szCs w:val="18"/>
        </w:rPr>
        <w:t>注：</w:t>
      </w:r>
      <w:r>
        <w:rPr>
          <w:rFonts w:hint="eastAsia" w:asciiTheme="minorEastAsia" w:hAnsiTheme="minorEastAsia" w:eastAsiaTheme="minorEastAsia"/>
          <w:kern w:val="0"/>
          <w:sz w:val="18"/>
          <w:szCs w:val="18"/>
        </w:rPr>
        <w:t>涕灭威、克百威和甲萘威质量浓度均为20.0</w:t>
      </w:r>
      <w:r>
        <w:rPr>
          <w:rFonts w:asciiTheme="minorEastAsia" w:hAnsiTheme="minorEastAsia" w:eastAsiaTheme="minorEastAsia"/>
          <w:kern w:val="0"/>
          <w:sz w:val="18"/>
          <w:szCs w:val="18"/>
        </w:rPr>
        <w:t xml:space="preserve"> μ</w:t>
      </w:r>
      <w:r>
        <w:rPr>
          <w:rFonts w:hint="eastAsia" w:asciiTheme="minorEastAsia" w:hAnsiTheme="minorEastAsia" w:eastAsiaTheme="minorEastAsia"/>
          <w:kern w:val="0"/>
          <w:sz w:val="18"/>
          <w:szCs w:val="18"/>
        </w:rPr>
        <w:t>g/L。</w:t>
      </w:r>
    </w:p>
    <w:p>
      <w:pPr>
        <w:pStyle w:val="3"/>
        <w:spacing w:before="159" w:beforeLines="50" w:beforeAutospacing="0" w:after="159" w:afterLines="50" w:line="360" w:lineRule="auto"/>
        <w:rPr>
          <w:rFonts w:ascii="黑体" w:hAnsi="黑体" w:eastAsia="黑体"/>
          <w:b w:val="0"/>
          <w:kern w:val="0"/>
          <w:sz w:val="21"/>
          <w:szCs w:val="21"/>
        </w:rPr>
      </w:pPr>
      <w:bookmarkStart w:id="87" w:name="_Toc23404645"/>
      <w:bookmarkStart w:id="88" w:name="_Toc23644"/>
      <w:bookmarkStart w:id="89" w:name="_Toc47358592"/>
      <w:r>
        <w:rPr>
          <w:rFonts w:hint="eastAsia" w:ascii="黑体" w:hAnsi="黑体" w:eastAsia="黑体"/>
          <w:b w:val="0"/>
          <w:kern w:val="0"/>
          <w:sz w:val="21"/>
          <w:szCs w:val="21"/>
        </w:rPr>
        <w:t>8.2</w:t>
      </w:r>
      <w:r>
        <w:rPr>
          <w:rFonts w:ascii="黑体" w:hAnsi="黑体" w:eastAsia="黑体"/>
          <w:b w:val="0"/>
          <w:kern w:val="0"/>
          <w:sz w:val="21"/>
          <w:szCs w:val="21"/>
        </w:rPr>
        <w:t xml:space="preserve"> </w:t>
      </w:r>
      <w:r>
        <w:rPr>
          <w:rFonts w:hint="eastAsia" w:ascii="黑体" w:hAnsi="黑体" w:eastAsia="黑体"/>
          <w:b w:val="0"/>
          <w:kern w:val="0"/>
          <w:sz w:val="21"/>
          <w:szCs w:val="21"/>
        </w:rPr>
        <w:t>定量分析</w:t>
      </w:r>
      <w:bookmarkEnd w:id="87"/>
      <w:bookmarkEnd w:id="88"/>
      <w:bookmarkEnd w:id="89"/>
    </w:p>
    <w:p>
      <w:pPr>
        <w:pStyle w:val="25"/>
        <w:spacing w:before="0" w:beforeAutospacing="0"/>
        <w:rPr>
          <w:rFonts w:ascii="Times New Roman" w:hAnsi="Times New Roman"/>
          <w:kern w:val="0"/>
        </w:rPr>
      </w:pPr>
      <w:r>
        <w:rPr>
          <w:rFonts w:hint="eastAsia" w:ascii="Times New Roman" w:hAnsi="Times New Roman"/>
          <w:kern w:val="0"/>
        </w:rPr>
        <w:t>用外标校准曲线法按照公式（1）计算水样中涕灭威、克百威、甲萘威的质量浓度：</w:t>
      </w:r>
    </w:p>
    <w:p>
      <w:pPr>
        <w:spacing w:before="0" w:beforeAutospacing="0" w:line="360" w:lineRule="auto"/>
        <w:jc w:val="right"/>
        <w:rPr>
          <w:rFonts w:ascii="Times New Roman" w:hAnsi="Times New Roman"/>
          <w:kern w:val="0"/>
        </w:rPr>
      </w:pPr>
      <w:r>
        <w:rPr>
          <w:rFonts w:hint="eastAsia" w:ascii="Times New Roman" w:hAnsi="Times New Roman"/>
          <w:i/>
          <w:kern w:val="0"/>
        </w:rPr>
        <w:t xml:space="preserve"> </w:t>
      </w:r>
      <w:r>
        <w:rPr>
          <w:rFonts w:ascii="Times New Roman" w:hAnsi="Times New Roman"/>
          <w:i/>
          <w:kern w:val="0"/>
        </w:rPr>
        <w:t xml:space="preserve"> </w:t>
      </w:r>
      <m:oMath>
        <m:sSub>
          <m:sSubPr>
            <m:ctrlPr>
              <w:rPr>
                <w:rFonts w:ascii="Cambria Math" w:hAnsi="Cambria Math"/>
                <w:i/>
                <w:kern w:val="0"/>
                <w:sz w:val="24"/>
                <w:szCs w:val="24"/>
              </w:rPr>
            </m:ctrlPr>
          </m:sSubPr>
          <m:e>
            <m:r>
              <w:rPr>
                <w:rFonts w:ascii="Cambria Math" w:hAnsi="Cambria Math"/>
                <w:kern w:val="0"/>
                <w:sz w:val="24"/>
                <w:szCs w:val="24"/>
              </w:rPr>
              <m:t>ρ</m:t>
            </m:r>
            <m:ctrlPr>
              <w:rPr>
                <w:rFonts w:ascii="Cambria Math" w:hAnsi="Cambria Math"/>
                <w:i/>
                <w:kern w:val="0"/>
                <w:sz w:val="24"/>
                <w:szCs w:val="24"/>
              </w:rPr>
            </m:ctrlPr>
          </m:e>
          <m:sub>
            <m:r>
              <w:rPr>
                <w:rFonts w:ascii="Cambria Math" w:hAnsi="Cambria Math"/>
                <w:kern w:val="0"/>
                <w:sz w:val="24"/>
                <w:szCs w:val="24"/>
              </w:rPr>
              <m:t>i</m:t>
            </m:r>
            <m:ctrlPr>
              <w:rPr>
                <w:rFonts w:ascii="Cambria Math" w:hAnsi="Cambria Math"/>
                <w:i/>
                <w:kern w:val="0"/>
                <w:sz w:val="24"/>
                <w:szCs w:val="24"/>
              </w:rPr>
            </m:ctrlPr>
          </m:sub>
        </m:sSub>
        <m:r>
          <m:rPr>
            <m:sty m:val="p"/>
          </m:rPr>
          <w:rPr>
            <w:rFonts w:ascii="Cambria Math" w:hAnsi="Cambria Math"/>
            <w:kern w:val="0"/>
            <w:sz w:val="24"/>
            <w:szCs w:val="24"/>
            <w:vertAlign w:val="subscript"/>
          </w:rPr>
          <m:t>=</m:t>
        </m:r>
        <m:f>
          <m:fPr>
            <m:ctrlPr>
              <w:rPr>
                <w:rFonts w:ascii="Cambria Math" w:hAnsi="Cambria Math"/>
                <w:i/>
                <w:kern w:val="0"/>
                <w:sz w:val="24"/>
                <w:szCs w:val="24"/>
                <w:vertAlign w:val="subscript"/>
              </w:rPr>
            </m:ctrlPr>
          </m:fPr>
          <m:num>
            <m:sSub>
              <m:sSubPr>
                <m:ctrlPr>
                  <w:rPr>
                    <w:rFonts w:ascii="Cambria Math" w:hAnsi="Cambria Math"/>
                    <w:i/>
                    <w:kern w:val="0"/>
                    <w:sz w:val="24"/>
                    <w:szCs w:val="24"/>
                    <w:vertAlign w:val="subscript"/>
                  </w:rPr>
                </m:ctrlPr>
              </m:sSubPr>
              <m:e>
                <m:r>
                  <w:rPr>
                    <w:rFonts w:ascii="Cambria Math" w:hAnsi="Cambria Math"/>
                    <w:kern w:val="0"/>
                    <w:sz w:val="24"/>
                    <w:szCs w:val="24"/>
                    <w:vertAlign w:val="subscript"/>
                  </w:rPr>
                  <m:t>m</m:t>
                </m:r>
                <m:ctrlPr>
                  <w:rPr>
                    <w:rFonts w:ascii="Cambria Math" w:hAnsi="Cambria Math"/>
                    <w:i/>
                    <w:kern w:val="0"/>
                    <w:sz w:val="24"/>
                    <w:szCs w:val="24"/>
                    <w:vertAlign w:val="subscript"/>
                  </w:rPr>
                </m:ctrlPr>
              </m:e>
              <m:sub>
                <m:r>
                  <w:rPr>
                    <w:rFonts w:ascii="Cambria Math" w:hAnsi="Cambria Math"/>
                    <w:kern w:val="0"/>
                    <w:sz w:val="24"/>
                    <w:szCs w:val="24"/>
                    <w:vertAlign w:val="subscript"/>
                  </w:rPr>
                  <m:t>i</m:t>
                </m:r>
                <m:ctrlPr>
                  <w:rPr>
                    <w:rFonts w:ascii="Cambria Math" w:hAnsi="Cambria Math"/>
                    <w:i/>
                    <w:kern w:val="0"/>
                    <w:sz w:val="24"/>
                    <w:szCs w:val="24"/>
                    <w:vertAlign w:val="subscript"/>
                  </w:rPr>
                </m:ctrlPr>
              </m:sub>
            </m:sSub>
            <m:ctrlPr>
              <w:rPr>
                <w:rFonts w:ascii="Cambria Math" w:hAnsi="Cambria Math"/>
                <w:i/>
                <w:kern w:val="0"/>
                <w:sz w:val="24"/>
                <w:szCs w:val="24"/>
                <w:vertAlign w:val="subscript"/>
              </w:rPr>
            </m:ctrlPr>
          </m:num>
          <m:den>
            <m:r>
              <w:rPr>
                <w:rFonts w:ascii="Cambria Math" w:hAnsi="Cambria Math"/>
                <w:kern w:val="0"/>
                <w:sz w:val="24"/>
                <w:szCs w:val="24"/>
                <w:vertAlign w:val="subscript"/>
              </w:rPr>
              <m:t>V</m:t>
            </m:r>
            <m:ctrlPr>
              <w:rPr>
                <w:rFonts w:ascii="Cambria Math" w:hAnsi="Cambria Math"/>
                <w:i/>
                <w:kern w:val="0"/>
                <w:sz w:val="24"/>
                <w:szCs w:val="24"/>
                <w:vertAlign w:val="subscript"/>
              </w:rPr>
            </m:ctrlPr>
          </m:den>
        </m:f>
        <m:r>
          <w:rPr>
            <w:rFonts w:ascii="Cambria Math" w:hAnsi="Cambria Math"/>
            <w:kern w:val="0"/>
            <w:sz w:val="24"/>
            <w:szCs w:val="24"/>
            <w:vertAlign w:val="subscript"/>
          </w:rPr>
          <m:t>×f×</m:t>
        </m:r>
        <m:f>
          <m:fPr>
            <m:ctrlPr>
              <w:rPr>
                <w:rFonts w:ascii="Cambria Math" w:hAnsi="Cambria Math"/>
                <w:i/>
                <w:kern w:val="0"/>
              </w:rPr>
            </m:ctrlPr>
          </m:fPr>
          <m:num>
            <m:sSub>
              <m:sSubPr>
                <m:ctrlPr>
                  <w:rPr>
                    <w:rFonts w:ascii="Cambria Math" w:hAnsi="Cambria Math"/>
                    <w:i/>
                    <w:kern w:val="0"/>
                  </w:rPr>
                </m:ctrlPr>
              </m:sSubPr>
              <m:e>
                <m:r>
                  <w:rPr>
                    <w:rFonts w:ascii="Cambria Math" w:hAnsi="Cambria Math"/>
                    <w:kern w:val="0"/>
                  </w:rPr>
                  <m:t>V</m:t>
                </m:r>
                <m:ctrlPr>
                  <w:rPr>
                    <w:rFonts w:ascii="Cambria Math" w:hAnsi="Cambria Math"/>
                    <w:i/>
                    <w:kern w:val="0"/>
                  </w:rPr>
                </m:ctrlPr>
              </m:e>
              <m:sub>
                <m:r>
                  <w:rPr>
                    <w:rFonts w:ascii="Cambria Math" w:hAnsi="Cambria Math"/>
                    <w:kern w:val="0"/>
                  </w:rPr>
                  <m:t>2</m:t>
                </m:r>
                <m:ctrlPr>
                  <w:rPr>
                    <w:rFonts w:ascii="Cambria Math" w:hAnsi="Cambria Math"/>
                    <w:i/>
                    <w:kern w:val="0"/>
                  </w:rPr>
                </m:ctrlPr>
              </m:sub>
            </m:sSub>
            <m:ctrlPr>
              <w:rPr>
                <w:rFonts w:ascii="Cambria Math" w:hAnsi="Cambria Math"/>
                <w:i/>
                <w:kern w:val="0"/>
              </w:rPr>
            </m:ctrlPr>
          </m:num>
          <m:den>
            <m:sSub>
              <m:sSubPr>
                <m:ctrlPr>
                  <w:rPr>
                    <w:rFonts w:ascii="Cambria Math" w:hAnsi="Cambria Math"/>
                    <w:i/>
                    <w:kern w:val="0"/>
                  </w:rPr>
                </m:ctrlPr>
              </m:sSubPr>
              <m:e>
                <m:r>
                  <w:rPr>
                    <w:rFonts w:ascii="Cambria Math" w:hAnsi="Cambria Math"/>
                    <w:kern w:val="0"/>
                  </w:rPr>
                  <m:t>V</m:t>
                </m:r>
                <m:ctrlPr>
                  <w:rPr>
                    <w:rFonts w:ascii="Cambria Math" w:hAnsi="Cambria Math"/>
                    <w:i/>
                    <w:kern w:val="0"/>
                  </w:rPr>
                </m:ctrlPr>
              </m:e>
              <m:sub>
                <m:r>
                  <w:rPr>
                    <w:rFonts w:ascii="Cambria Math" w:hAnsi="Cambria Math"/>
                    <w:kern w:val="0"/>
                  </w:rPr>
                  <m:t>1</m:t>
                </m:r>
                <m:ctrlPr>
                  <w:rPr>
                    <w:rFonts w:ascii="Cambria Math" w:hAnsi="Cambria Math"/>
                    <w:i/>
                    <w:kern w:val="0"/>
                  </w:rPr>
                </m:ctrlPr>
              </m:sub>
            </m:sSub>
            <m:ctrlPr>
              <w:rPr>
                <w:rFonts w:ascii="Cambria Math" w:hAnsi="Cambria Math"/>
                <w:i/>
                <w:kern w:val="0"/>
              </w:rPr>
            </m:ctrlPr>
          </m:den>
        </m:f>
        <m:r>
          <w:rPr>
            <w:rFonts w:ascii="Cambria Math" w:hAnsi="Cambria Math"/>
            <w:kern w:val="0"/>
            <w:sz w:val="24"/>
            <w:szCs w:val="24"/>
            <w:vertAlign w:val="subscript"/>
          </w:rPr>
          <m:t>×1000</m:t>
        </m:r>
      </m:oMath>
      <w:r>
        <w:rPr>
          <w:rFonts w:ascii="Times New Roman" w:hAnsi="Times New Roman"/>
          <w:i/>
          <w:kern w:val="0"/>
        </w:rPr>
        <w:t xml:space="preserve"> </w:t>
      </w:r>
      <w:r>
        <w:rPr>
          <w:rFonts w:ascii="Times New Roman" w:hAnsi="Times New Roman"/>
          <w:kern w:val="0"/>
        </w:rPr>
        <w:t xml:space="preserve"> ·······································</w:t>
      </w:r>
      <w:r>
        <w:rPr>
          <w:rFonts w:hint="eastAsia" w:ascii="Times New Roman" w:hAnsi="Times New Roman"/>
          <w:kern w:val="0"/>
        </w:rPr>
        <w:t>（1）</w:t>
      </w:r>
    </w:p>
    <w:p>
      <w:pPr>
        <w:tabs>
          <w:tab w:val="left" w:pos="0"/>
        </w:tabs>
        <w:spacing w:before="0" w:beforeAutospacing="0" w:line="360" w:lineRule="auto"/>
        <w:ind w:firstLine="420" w:firstLineChars="200"/>
        <w:rPr>
          <w:rFonts w:ascii="Times New Roman" w:hAnsi="Times New Roman"/>
          <w:kern w:val="0"/>
        </w:rPr>
      </w:pPr>
      <w:r>
        <w:rPr>
          <w:rFonts w:hint="eastAsia" w:ascii="Times New Roman" w:hAnsi="Times New Roman"/>
          <w:kern w:val="0"/>
        </w:rPr>
        <w:t>式中：</w:t>
      </w:r>
    </w:p>
    <w:p>
      <w:pPr>
        <w:tabs>
          <w:tab w:val="left" w:pos="0"/>
        </w:tabs>
        <w:spacing w:before="0" w:beforeAutospacing="0" w:line="360" w:lineRule="auto"/>
        <w:ind w:firstLine="420" w:firstLineChars="200"/>
        <w:rPr>
          <w:rFonts w:ascii="Times New Roman" w:hAnsi="Times New Roman"/>
          <w:kern w:val="0"/>
        </w:rPr>
      </w:pPr>
      <m:oMath>
        <m:sSub>
          <m:sSubPr>
            <m:ctrlPr>
              <w:rPr>
                <w:rFonts w:ascii="Cambria Math" w:hAnsi="Cambria Math"/>
                <w:i/>
                <w:kern w:val="0"/>
              </w:rPr>
            </m:ctrlPr>
          </m:sSubPr>
          <m:e>
            <m:r>
              <w:rPr>
                <w:rFonts w:hint="eastAsia" w:ascii="Cambria Math" w:hAnsi="Cambria Math"/>
                <w:kern w:val="0"/>
              </w:rPr>
              <m:t>ρ</m:t>
            </m:r>
            <m:ctrlPr>
              <w:rPr>
                <w:rFonts w:ascii="Cambria Math" w:hAnsi="Cambria Math"/>
                <w:i/>
                <w:kern w:val="0"/>
              </w:rPr>
            </m:ctrlPr>
          </m:e>
          <m:sub>
            <m:r>
              <w:rPr>
                <w:rFonts w:ascii="Cambria Math" w:hAnsi="Cambria Math"/>
                <w:kern w:val="0"/>
              </w:rPr>
              <m:t>i</m:t>
            </m:r>
            <m:ctrlPr>
              <w:rPr>
                <w:rFonts w:ascii="Cambria Math" w:hAnsi="Cambria Math"/>
                <w:i/>
                <w:kern w:val="0"/>
              </w:rPr>
            </m:ctrlPr>
          </m:sub>
        </m:sSub>
      </m:oMath>
      <w:r>
        <w:rPr>
          <w:rFonts w:hint="eastAsia" w:ascii="Times New Roman" w:hAnsi="Times New Roman"/>
          <w:kern w:val="0"/>
        </w:rPr>
        <w:t xml:space="preserve"> —水样中各目标化合物的质量浓度，</w:t>
      </w:r>
      <w:r>
        <w:rPr>
          <w:rFonts w:ascii="Times New Roman" w:hAnsi="Times New Roman"/>
          <w:kern w:val="0"/>
        </w:rPr>
        <w:t>μ</w:t>
      </w:r>
      <w:r>
        <w:rPr>
          <w:rFonts w:hint="eastAsia" w:ascii="Times New Roman" w:hAnsi="Times New Roman"/>
          <w:kern w:val="0"/>
        </w:rPr>
        <w:t>g/L；</w:t>
      </w:r>
    </w:p>
    <w:p>
      <w:pPr>
        <w:spacing w:before="0" w:beforeAutospacing="0" w:line="360" w:lineRule="auto"/>
        <w:ind w:firstLine="435"/>
        <w:jc w:val="left"/>
        <w:rPr>
          <w:rFonts w:ascii="Times New Roman" w:hAnsi="Times New Roman"/>
          <w:kern w:val="0"/>
        </w:rPr>
      </w:pPr>
      <w:r>
        <w:rPr>
          <w:rFonts w:ascii="Times New Roman" w:hAnsi="Times New Roman"/>
          <w:i/>
          <w:kern w:val="0"/>
        </w:rPr>
        <w:t>m</w:t>
      </w:r>
      <w:r>
        <w:rPr>
          <w:rFonts w:ascii="Times New Roman" w:hAnsi="Times New Roman"/>
          <w:i/>
          <w:kern w:val="0"/>
          <w:vertAlign w:val="subscript"/>
        </w:rPr>
        <w:t xml:space="preserve">i </w:t>
      </w:r>
      <w:r>
        <w:rPr>
          <w:rFonts w:hint="eastAsia" w:ascii="Times New Roman" w:hAnsi="Times New Roman"/>
          <w:kern w:val="0"/>
        </w:rPr>
        <w:t>—根据校准曲线计算出试液中各目标化合物的含量，</w:t>
      </w:r>
      <w:r>
        <w:rPr>
          <w:rFonts w:ascii="Times New Roman" w:hAnsi="Times New Roman"/>
          <w:kern w:val="0"/>
        </w:rPr>
        <w:t>n</w:t>
      </w:r>
      <w:r>
        <w:rPr>
          <w:rFonts w:hint="eastAsia" w:ascii="Times New Roman" w:hAnsi="Times New Roman"/>
          <w:kern w:val="0"/>
        </w:rPr>
        <w:t>g；</w:t>
      </w:r>
    </w:p>
    <w:p>
      <w:pPr>
        <w:spacing w:before="0" w:beforeAutospacing="0" w:line="360" w:lineRule="auto"/>
        <w:ind w:firstLine="435"/>
        <w:jc w:val="left"/>
        <w:rPr>
          <w:rFonts w:ascii="Times New Roman" w:hAnsi="Times New Roman"/>
          <w:kern w:val="0"/>
        </w:rPr>
      </w:pPr>
      <w:r>
        <w:rPr>
          <w:rFonts w:hint="eastAsia" w:ascii="Times New Roman" w:hAnsi="Times New Roman"/>
          <w:i/>
          <w:kern w:val="0"/>
        </w:rPr>
        <w:t>V</w:t>
      </w:r>
      <w:r>
        <w:rPr>
          <w:rFonts w:ascii="Times New Roman" w:hAnsi="Times New Roman"/>
          <w:kern w:val="0"/>
        </w:rPr>
        <w:t xml:space="preserve"> </w:t>
      </w:r>
      <w:r>
        <w:rPr>
          <w:rFonts w:hint="eastAsia" w:ascii="Times New Roman" w:hAnsi="Times New Roman"/>
          <w:kern w:val="0"/>
        </w:rPr>
        <w:t>—仪器进样体积</w:t>
      </w:r>
      <w:r>
        <w:rPr>
          <w:rFonts w:ascii="Times New Roman" w:hAnsi="Times New Roman"/>
          <w:kern w:val="0"/>
        </w:rPr>
        <w:t>，μL</w:t>
      </w:r>
      <w:r>
        <w:rPr>
          <w:rFonts w:hint="eastAsia" w:ascii="Times New Roman" w:hAnsi="Times New Roman"/>
          <w:kern w:val="0"/>
        </w:rPr>
        <w:t>；</w:t>
      </w:r>
    </w:p>
    <w:p>
      <w:pPr>
        <w:spacing w:before="0" w:beforeAutospacing="0" w:line="360" w:lineRule="auto"/>
        <w:ind w:firstLine="525" w:firstLineChars="250"/>
        <w:jc w:val="left"/>
        <w:rPr>
          <w:rFonts w:ascii="Times New Roman" w:hAnsi="Times New Roman"/>
          <w:kern w:val="0"/>
        </w:rPr>
      </w:pPr>
      <w:r>
        <w:rPr>
          <w:rFonts w:ascii="Times New Roman" w:hAnsi="Times New Roman"/>
          <w:i/>
          <w:kern w:val="0"/>
        </w:rPr>
        <w:t xml:space="preserve">f </w:t>
      </w:r>
      <w:r>
        <w:rPr>
          <w:rFonts w:hint="eastAsia" w:ascii="Times New Roman" w:hAnsi="Times New Roman"/>
          <w:kern w:val="0"/>
        </w:rPr>
        <w:t>—样品稀释</w:t>
      </w:r>
      <w:r>
        <w:rPr>
          <w:rFonts w:ascii="Times New Roman" w:hAnsi="Times New Roman"/>
          <w:kern w:val="0"/>
        </w:rPr>
        <w:t>因子</w:t>
      </w:r>
      <w:r>
        <w:rPr>
          <w:rFonts w:hint="eastAsia" w:ascii="Times New Roman" w:hAnsi="Times New Roman"/>
          <w:kern w:val="0"/>
        </w:rPr>
        <w:t>；</w:t>
      </w:r>
    </w:p>
    <w:p>
      <w:pPr>
        <w:tabs>
          <w:tab w:val="left" w:pos="0"/>
        </w:tabs>
        <w:spacing w:before="0" w:beforeAutospacing="0" w:line="360" w:lineRule="auto"/>
        <w:ind w:firstLine="420" w:firstLineChars="200"/>
        <w:rPr>
          <w:rFonts w:ascii="Times New Roman" w:hAnsi="Times New Roman"/>
          <w:kern w:val="0"/>
        </w:rPr>
      </w:pPr>
      <w:r>
        <w:rPr>
          <w:rFonts w:ascii="Times New Roman" w:hAnsi="Times New Roman"/>
          <w:i/>
          <w:kern w:val="0"/>
        </w:rPr>
        <w:t>V</w:t>
      </w:r>
      <w:r>
        <w:rPr>
          <w:rFonts w:ascii="Times New Roman" w:hAnsi="Times New Roman"/>
          <w:i/>
          <w:kern w:val="0"/>
          <w:vertAlign w:val="subscript"/>
        </w:rPr>
        <w:t xml:space="preserve">1 </w:t>
      </w:r>
      <w:r>
        <w:rPr>
          <w:rFonts w:hint="eastAsia" w:ascii="Times New Roman" w:hAnsi="Times New Roman"/>
          <w:kern w:val="0"/>
        </w:rPr>
        <w:t>—样品制备使用水样体积</w:t>
      </w:r>
      <w:r>
        <w:rPr>
          <w:rFonts w:ascii="Times New Roman" w:hAnsi="Times New Roman"/>
          <w:kern w:val="0"/>
        </w:rPr>
        <w:t>，mL；</w:t>
      </w:r>
    </w:p>
    <w:p>
      <w:pPr>
        <w:tabs>
          <w:tab w:val="left" w:pos="0"/>
        </w:tabs>
        <w:spacing w:before="0" w:beforeAutospacing="0" w:line="360" w:lineRule="auto"/>
        <w:ind w:firstLine="420" w:firstLineChars="200"/>
        <w:rPr>
          <w:rFonts w:ascii="Times New Roman" w:hAnsi="Times New Roman"/>
          <w:kern w:val="0"/>
        </w:rPr>
      </w:pPr>
      <w:r>
        <w:rPr>
          <w:rFonts w:hint="eastAsia" w:ascii="Times New Roman" w:hAnsi="Times New Roman"/>
          <w:i/>
          <w:kern w:val="0"/>
        </w:rPr>
        <w:t>V</w:t>
      </w:r>
      <w:r>
        <w:rPr>
          <w:rFonts w:ascii="Times New Roman" w:hAnsi="Times New Roman"/>
          <w:i/>
          <w:kern w:val="0"/>
          <w:vertAlign w:val="subscript"/>
        </w:rPr>
        <w:t xml:space="preserve">2 </w:t>
      </w:r>
      <w:r>
        <w:rPr>
          <w:rFonts w:hint="eastAsia" w:ascii="Times New Roman" w:hAnsi="Times New Roman"/>
          <w:kern w:val="0"/>
        </w:rPr>
        <w:t>—样品制备</w:t>
      </w:r>
      <w:r>
        <w:rPr>
          <w:rFonts w:ascii="Times New Roman" w:hAnsi="Times New Roman"/>
          <w:kern w:val="0"/>
        </w:rPr>
        <w:t>后</w:t>
      </w:r>
      <w:r>
        <w:rPr>
          <w:rFonts w:hint="eastAsia" w:ascii="Times New Roman" w:hAnsi="Times New Roman"/>
          <w:kern w:val="0"/>
        </w:rPr>
        <w:t>定容</w:t>
      </w:r>
      <w:r>
        <w:rPr>
          <w:rFonts w:ascii="Times New Roman" w:hAnsi="Times New Roman"/>
          <w:kern w:val="0"/>
        </w:rPr>
        <w:t>体积，mL。</w:t>
      </w:r>
    </w:p>
    <w:p>
      <w:pPr>
        <w:pStyle w:val="3"/>
        <w:spacing w:before="159" w:beforeLines="50" w:beforeAutospacing="0" w:after="159" w:afterLines="50" w:line="360" w:lineRule="auto"/>
        <w:rPr>
          <w:rFonts w:ascii="黑体" w:hAnsi="黑体" w:eastAsia="黑体"/>
          <w:b w:val="0"/>
          <w:kern w:val="0"/>
          <w:sz w:val="21"/>
          <w:szCs w:val="21"/>
        </w:rPr>
      </w:pPr>
      <w:bookmarkStart w:id="90" w:name="_Toc47358593"/>
      <w:bookmarkStart w:id="91" w:name="_Toc1543"/>
      <w:bookmarkStart w:id="92" w:name="_Toc23404646"/>
      <w:r>
        <w:rPr>
          <w:rFonts w:hint="eastAsia" w:ascii="黑体" w:hAnsi="黑体" w:eastAsia="黑体"/>
          <w:b w:val="0"/>
          <w:kern w:val="0"/>
          <w:sz w:val="21"/>
          <w:szCs w:val="21"/>
        </w:rPr>
        <w:t>8.3</w:t>
      </w:r>
      <w:r>
        <w:rPr>
          <w:rFonts w:ascii="黑体" w:hAnsi="黑体" w:eastAsia="黑体"/>
          <w:b w:val="0"/>
          <w:kern w:val="0"/>
          <w:sz w:val="21"/>
          <w:szCs w:val="21"/>
        </w:rPr>
        <w:t xml:space="preserve"> </w:t>
      </w:r>
      <w:r>
        <w:rPr>
          <w:rFonts w:hint="eastAsia" w:ascii="黑体" w:hAnsi="黑体" w:eastAsia="黑体"/>
          <w:b w:val="0"/>
          <w:kern w:val="0"/>
          <w:sz w:val="21"/>
          <w:szCs w:val="21"/>
        </w:rPr>
        <w:t>结果表示</w:t>
      </w:r>
      <w:bookmarkEnd w:id="90"/>
      <w:bookmarkEnd w:id="91"/>
      <w:bookmarkEnd w:id="92"/>
    </w:p>
    <w:p>
      <w:pPr>
        <w:tabs>
          <w:tab w:val="left" w:pos="0"/>
        </w:tabs>
        <w:spacing w:before="0" w:beforeAutospacing="0" w:line="360" w:lineRule="auto"/>
        <w:ind w:firstLine="420" w:firstLineChars="200"/>
        <w:rPr>
          <w:rFonts w:ascii="Times New Roman" w:hAnsi="Times New Roman"/>
          <w:kern w:val="0"/>
        </w:rPr>
      </w:pPr>
      <w:r>
        <w:rPr>
          <w:rFonts w:hint="eastAsia" w:ascii="Times New Roman" w:hAnsi="Times New Roman"/>
          <w:kern w:val="0"/>
        </w:rPr>
        <w:t>测定结果大于等于1.00</w:t>
      </w:r>
      <w:r>
        <w:rPr>
          <w:rFonts w:ascii="Times New Roman" w:hAnsi="Times New Roman"/>
          <w:kern w:val="0"/>
        </w:rPr>
        <w:t xml:space="preserve"> </w:t>
      </w:r>
      <w:r>
        <w:rPr>
          <w:rFonts w:ascii="Times New Roman" w:hAnsi="Times New Roman" w:eastAsiaTheme="minorEastAsia"/>
        </w:rPr>
        <w:t>μg/L</w:t>
      </w:r>
      <w:r>
        <w:rPr>
          <w:rFonts w:hint="eastAsia" w:ascii="Times New Roman" w:hAnsi="Times New Roman" w:eastAsiaTheme="minorEastAsia"/>
        </w:rPr>
        <w:t>时</w:t>
      </w:r>
      <w:r>
        <w:rPr>
          <w:rFonts w:ascii="Times New Roman" w:hAnsi="Times New Roman" w:eastAsiaTheme="minorEastAsia"/>
        </w:rPr>
        <w:t>，结果保留</w:t>
      </w:r>
      <w:r>
        <w:rPr>
          <w:rFonts w:hint="eastAsia" w:ascii="Times New Roman" w:hAnsi="Times New Roman" w:eastAsiaTheme="minorEastAsia"/>
        </w:rPr>
        <w:t>三位</w:t>
      </w:r>
      <w:r>
        <w:rPr>
          <w:rFonts w:ascii="Times New Roman" w:hAnsi="Times New Roman" w:eastAsiaTheme="minorEastAsia"/>
        </w:rPr>
        <w:t>有效数字</w:t>
      </w:r>
      <w:r>
        <w:rPr>
          <w:rFonts w:hint="eastAsia" w:ascii="Times New Roman" w:hAnsi="Times New Roman" w:eastAsiaTheme="minorEastAsia"/>
        </w:rPr>
        <w:t>；</w:t>
      </w:r>
      <w:r>
        <w:rPr>
          <w:rFonts w:ascii="Times New Roman" w:hAnsi="Times New Roman" w:eastAsiaTheme="minorEastAsia"/>
        </w:rPr>
        <w:t>小于</w:t>
      </w:r>
      <w:r>
        <w:rPr>
          <w:rFonts w:hint="eastAsia" w:ascii="Times New Roman" w:hAnsi="Times New Roman"/>
          <w:kern w:val="0"/>
        </w:rPr>
        <w:t>1.00</w:t>
      </w:r>
      <w:r>
        <w:rPr>
          <w:rFonts w:ascii="Times New Roman" w:hAnsi="Times New Roman"/>
          <w:kern w:val="0"/>
        </w:rPr>
        <w:t xml:space="preserve"> </w:t>
      </w:r>
      <w:r>
        <w:rPr>
          <w:rFonts w:ascii="Times New Roman" w:hAnsi="Times New Roman" w:eastAsiaTheme="minorEastAsia"/>
        </w:rPr>
        <w:t>μg/L</w:t>
      </w:r>
      <w:r>
        <w:rPr>
          <w:rFonts w:hint="eastAsia" w:ascii="Times New Roman" w:hAnsi="Times New Roman" w:eastAsiaTheme="minorEastAsia"/>
        </w:rPr>
        <w:t>时</w:t>
      </w:r>
      <w:r>
        <w:rPr>
          <w:rFonts w:ascii="Times New Roman" w:hAnsi="Times New Roman" w:eastAsiaTheme="minorEastAsia"/>
        </w:rPr>
        <w:t>，</w:t>
      </w:r>
      <w:r>
        <w:rPr>
          <w:rFonts w:hint="eastAsia" w:ascii="Times New Roman" w:hAnsi="Times New Roman"/>
          <w:kern w:val="0"/>
        </w:rPr>
        <w:t>结果保留到小数点</w:t>
      </w:r>
      <w:r>
        <w:rPr>
          <w:rFonts w:ascii="Times New Roman" w:hAnsi="Times New Roman"/>
          <w:kern w:val="0"/>
        </w:rPr>
        <w:t>后三位</w:t>
      </w:r>
      <w:r>
        <w:rPr>
          <w:rFonts w:hint="eastAsia" w:ascii="Times New Roman" w:hAnsi="Times New Roman"/>
          <w:kern w:val="0"/>
        </w:rPr>
        <w:t>。</w:t>
      </w:r>
    </w:p>
    <w:p>
      <w:pPr>
        <w:pStyle w:val="2"/>
        <w:numPr>
          <w:ilvl w:val="0"/>
          <w:numId w:val="1"/>
        </w:numPr>
        <w:spacing w:before="318" w:beforeLines="100" w:after="318" w:afterLines="100"/>
        <w:rPr>
          <w:rFonts w:ascii="Times New Roman" w:hAnsi="Times New Roman" w:eastAsia="黑体"/>
          <w:b w:val="0"/>
          <w:bCs/>
          <w:sz w:val="21"/>
        </w:rPr>
      </w:pPr>
      <w:bookmarkStart w:id="93" w:name="_Toc47358594"/>
      <w:bookmarkStart w:id="94" w:name="_Toc30553"/>
      <w:bookmarkStart w:id="95" w:name="_Toc23404650"/>
      <w:r>
        <w:rPr>
          <w:rFonts w:hint="eastAsia" w:ascii="Times New Roman" w:hAnsi="Times New Roman" w:eastAsia="黑体"/>
          <w:b w:val="0"/>
          <w:bCs/>
          <w:sz w:val="21"/>
        </w:rPr>
        <w:t xml:space="preserve"> 精密度和准确度</w:t>
      </w:r>
      <w:bookmarkEnd w:id="93"/>
      <w:bookmarkEnd w:id="94"/>
      <w:bookmarkEnd w:id="95"/>
    </w:p>
    <w:p>
      <w:pPr>
        <w:spacing w:before="0" w:beforeAutospacing="0" w:line="360" w:lineRule="auto"/>
        <w:ind w:firstLine="420" w:firstLineChars="200"/>
        <w:rPr>
          <w:rFonts w:ascii="Times New Roman" w:hAnsi="Times New Roman" w:eastAsiaTheme="minorEastAsia"/>
        </w:rPr>
      </w:pPr>
      <w:r>
        <w:rPr>
          <w:rFonts w:hint="eastAsia" w:ascii="Times New Roman" w:hAnsi="Times New Roman" w:eastAsiaTheme="minorEastAsia"/>
        </w:rPr>
        <w:t>实验室内相对</w:t>
      </w:r>
      <w:r>
        <w:rPr>
          <w:rFonts w:ascii="Times New Roman" w:hAnsi="Times New Roman" w:eastAsiaTheme="minorEastAsia"/>
        </w:rPr>
        <w:t>标准偏差应</w:t>
      </w:r>
      <w:r>
        <w:rPr>
          <w:rFonts w:hint="eastAsia" w:ascii="Times New Roman" w:hAnsi="Times New Roman" w:eastAsiaTheme="minorEastAsia"/>
        </w:rPr>
        <w:t>在20</w:t>
      </w:r>
      <w:r>
        <w:rPr>
          <w:rFonts w:ascii="Times New Roman" w:hAnsi="Times New Roman" w:eastAsiaTheme="minorEastAsia"/>
        </w:rPr>
        <w:t>%以内</w:t>
      </w:r>
      <w:r>
        <w:rPr>
          <w:rFonts w:hint="eastAsia" w:ascii="Times New Roman" w:hAnsi="Times New Roman" w:eastAsiaTheme="minorEastAsia"/>
        </w:rPr>
        <w:t>；实验室内加标</w:t>
      </w:r>
      <w:r>
        <w:rPr>
          <w:rFonts w:ascii="Times New Roman" w:hAnsi="Times New Roman" w:eastAsiaTheme="minorEastAsia"/>
        </w:rPr>
        <w:t>回收率</w:t>
      </w:r>
      <w:r>
        <w:rPr>
          <w:rFonts w:hint="eastAsia" w:ascii="Times New Roman" w:hAnsi="Times New Roman" w:eastAsiaTheme="minorEastAsia"/>
        </w:rPr>
        <w:t>应在70</w:t>
      </w:r>
      <w:r>
        <w:rPr>
          <w:rFonts w:ascii="Times New Roman" w:hAnsi="Times New Roman" w:eastAsiaTheme="minorEastAsia"/>
        </w:rPr>
        <w:t>%~120%</w:t>
      </w:r>
      <w:r>
        <w:rPr>
          <w:rFonts w:hint="eastAsia" w:ascii="Times New Roman" w:hAnsi="Times New Roman" w:eastAsiaTheme="minorEastAsia"/>
        </w:rPr>
        <w:t>以内</w:t>
      </w:r>
      <w:r>
        <w:rPr>
          <w:rFonts w:ascii="Times New Roman" w:hAnsi="Times New Roman" w:eastAsiaTheme="minorEastAsia"/>
        </w:rPr>
        <w:t>。</w:t>
      </w:r>
      <w:r>
        <w:rPr>
          <w:rFonts w:hint="eastAsia" w:ascii="Times New Roman" w:hAnsi="Times New Roman" w:eastAsiaTheme="minorEastAsia"/>
        </w:rPr>
        <w:t>4家实验室测定</w:t>
      </w:r>
      <w:r>
        <w:rPr>
          <w:rFonts w:ascii="Times New Roman" w:hAnsi="Times New Roman" w:eastAsiaTheme="minorEastAsia"/>
        </w:rPr>
        <w:t>的</w:t>
      </w:r>
      <w:r>
        <w:rPr>
          <w:rFonts w:hint="eastAsia" w:ascii="Times New Roman" w:hAnsi="Times New Roman" w:eastAsiaTheme="minorEastAsia"/>
        </w:rPr>
        <w:t>精密度</w:t>
      </w:r>
      <w:r>
        <w:rPr>
          <w:rFonts w:ascii="Times New Roman" w:hAnsi="Times New Roman" w:eastAsiaTheme="minorEastAsia"/>
        </w:rPr>
        <w:t>和</w:t>
      </w:r>
      <w:r>
        <w:rPr>
          <w:rFonts w:hint="eastAsia" w:ascii="Times New Roman" w:hAnsi="Times New Roman" w:eastAsiaTheme="minorEastAsia"/>
        </w:rPr>
        <w:t>准确度数据参见附录B。</w:t>
      </w:r>
    </w:p>
    <w:p>
      <w:pPr>
        <w:pStyle w:val="2"/>
        <w:numPr>
          <w:ilvl w:val="0"/>
          <w:numId w:val="1"/>
        </w:numPr>
        <w:spacing w:before="318" w:beforeLines="100" w:after="318" w:afterLines="100"/>
        <w:rPr>
          <w:rFonts w:ascii="Times New Roman" w:hAnsi="Times New Roman" w:eastAsia="黑体"/>
          <w:b w:val="0"/>
          <w:bCs/>
          <w:sz w:val="21"/>
        </w:rPr>
      </w:pPr>
      <w:bookmarkStart w:id="96" w:name="_Toc47358597"/>
      <w:r>
        <w:rPr>
          <w:rFonts w:hint="eastAsia" w:ascii="Times New Roman" w:hAnsi="Times New Roman" w:eastAsia="黑体"/>
          <w:b w:val="0"/>
          <w:bCs/>
          <w:sz w:val="21"/>
        </w:rPr>
        <w:t xml:space="preserve"> 质量保证与质量控制</w:t>
      </w:r>
      <w:bookmarkEnd w:id="96"/>
    </w:p>
    <w:p>
      <w:pPr>
        <w:pStyle w:val="3"/>
        <w:spacing w:before="0" w:beforeAutospacing="0" w:after="159" w:afterLines="50" w:line="360" w:lineRule="auto"/>
        <w:rPr>
          <w:rFonts w:ascii="黑体" w:hAnsi="黑体" w:eastAsia="黑体"/>
          <w:b w:val="0"/>
          <w:kern w:val="0"/>
          <w:sz w:val="21"/>
          <w:szCs w:val="21"/>
        </w:rPr>
      </w:pPr>
      <w:bookmarkStart w:id="97" w:name="_Toc47358598"/>
      <w:r>
        <w:rPr>
          <w:rFonts w:hint="eastAsia" w:ascii="黑体" w:hAnsi="黑体" w:eastAsia="黑体"/>
          <w:b w:val="0"/>
          <w:kern w:val="0"/>
          <w:sz w:val="21"/>
          <w:szCs w:val="21"/>
        </w:rPr>
        <w:t>10.1</w:t>
      </w:r>
      <w:r>
        <w:rPr>
          <w:rFonts w:ascii="黑体" w:hAnsi="黑体" w:eastAsia="黑体"/>
          <w:b w:val="0"/>
          <w:kern w:val="0"/>
          <w:sz w:val="21"/>
          <w:szCs w:val="21"/>
        </w:rPr>
        <w:t xml:space="preserve"> </w:t>
      </w:r>
      <w:r>
        <w:rPr>
          <w:rFonts w:hint="eastAsia" w:ascii="黑体" w:hAnsi="黑体" w:eastAsia="黑体"/>
          <w:b w:val="0"/>
          <w:kern w:val="0"/>
          <w:sz w:val="21"/>
          <w:szCs w:val="21"/>
        </w:rPr>
        <w:t>质量保证</w:t>
      </w:r>
      <w:bookmarkEnd w:id="97"/>
    </w:p>
    <w:p>
      <w:pPr>
        <w:numPr>
          <w:ilvl w:val="0"/>
          <w:numId w:val="7"/>
        </w:numPr>
        <w:spacing w:before="0" w:beforeAutospacing="0" w:line="360" w:lineRule="auto"/>
        <w:rPr>
          <w:rFonts w:ascii="Times New Roman" w:hAnsi="Times New Roman"/>
        </w:rPr>
      </w:pPr>
      <w:r>
        <w:rPr>
          <w:rFonts w:hint="eastAsia" w:ascii="Times New Roman" w:hAnsi="Times New Roman"/>
        </w:rPr>
        <w:t xml:space="preserve"> 试剂、玻璃器皿和仪器可能存在干扰测定的污染物，应采用实验室空白和全程序空白控制试验过程中的污染。</w:t>
      </w:r>
    </w:p>
    <w:p>
      <w:pPr>
        <w:numPr>
          <w:ilvl w:val="0"/>
          <w:numId w:val="7"/>
        </w:numPr>
        <w:spacing w:before="0" w:beforeAutospacing="0" w:line="360" w:lineRule="auto"/>
        <w:rPr>
          <w:rFonts w:ascii="Times New Roman" w:hAnsi="Times New Roman"/>
        </w:rPr>
      </w:pPr>
      <w:r>
        <w:rPr>
          <w:rFonts w:ascii="Times New Roman" w:hAnsi="Times New Roman"/>
        </w:rPr>
        <w:t xml:space="preserve"> </w:t>
      </w:r>
      <w:r>
        <w:rPr>
          <w:rFonts w:hint="eastAsia" w:ascii="Times New Roman" w:hAnsi="Times New Roman"/>
        </w:rPr>
        <w:t>样品3</w:t>
      </w:r>
      <w:r>
        <w:rPr>
          <w:rFonts w:ascii="Times New Roman" w:hAnsi="Times New Roman"/>
        </w:rPr>
        <w:t xml:space="preserve"> </w:t>
      </w:r>
      <w:r>
        <w:rPr>
          <w:rFonts w:hint="eastAsia" w:ascii="Times New Roman" w:hAnsi="Times New Roman"/>
        </w:rPr>
        <w:t>d内完成直接进样测定或固相萃取，萃取后3</w:t>
      </w:r>
      <w:r>
        <w:rPr>
          <w:rFonts w:ascii="Times New Roman" w:hAnsi="Times New Roman"/>
        </w:rPr>
        <w:t xml:space="preserve"> </w:t>
      </w:r>
      <w:r>
        <w:rPr>
          <w:rFonts w:hint="eastAsia" w:ascii="Times New Roman" w:hAnsi="Times New Roman"/>
        </w:rPr>
        <w:t>d内完成洗脱测定。</w:t>
      </w:r>
    </w:p>
    <w:p>
      <w:pPr>
        <w:pStyle w:val="3"/>
        <w:spacing w:before="159" w:beforeLines="50" w:beforeAutospacing="0" w:after="159" w:afterLines="50" w:line="360" w:lineRule="auto"/>
        <w:rPr>
          <w:rFonts w:ascii="黑体" w:hAnsi="黑体" w:eastAsia="黑体"/>
          <w:b w:val="0"/>
          <w:kern w:val="0"/>
          <w:sz w:val="21"/>
          <w:szCs w:val="21"/>
        </w:rPr>
      </w:pPr>
      <w:bookmarkStart w:id="98" w:name="_Toc47358599"/>
      <w:r>
        <w:rPr>
          <w:rFonts w:hint="eastAsia" w:ascii="黑体" w:hAnsi="黑体" w:eastAsia="黑体"/>
          <w:b w:val="0"/>
          <w:kern w:val="0"/>
          <w:sz w:val="21"/>
          <w:szCs w:val="21"/>
        </w:rPr>
        <w:t>10.2</w:t>
      </w:r>
      <w:r>
        <w:rPr>
          <w:rFonts w:ascii="黑体" w:hAnsi="黑体" w:eastAsia="黑体"/>
          <w:b w:val="0"/>
          <w:kern w:val="0"/>
          <w:sz w:val="21"/>
          <w:szCs w:val="21"/>
        </w:rPr>
        <w:t xml:space="preserve"> </w:t>
      </w:r>
      <w:r>
        <w:rPr>
          <w:rFonts w:hint="eastAsia" w:ascii="黑体" w:hAnsi="黑体" w:eastAsia="黑体"/>
          <w:b w:val="0"/>
          <w:kern w:val="0"/>
          <w:sz w:val="21"/>
          <w:szCs w:val="21"/>
        </w:rPr>
        <w:t>质量控制</w:t>
      </w:r>
      <w:bookmarkEnd w:id="98"/>
    </w:p>
    <w:p>
      <w:pPr>
        <w:numPr>
          <w:ilvl w:val="255"/>
          <w:numId w:val="0"/>
        </w:numPr>
        <w:tabs>
          <w:tab w:val="left" w:pos="0"/>
        </w:tabs>
        <w:spacing w:before="0" w:beforeAutospacing="0" w:line="360" w:lineRule="auto"/>
        <w:rPr>
          <w:rFonts w:ascii="Times New Roman" w:hAnsi="Times New Roman"/>
          <w:kern w:val="0"/>
        </w:rPr>
      </w:pPr>
      <w:r>
        <w:rPr>
          <w:rFonts w:hint="eastAsia" w:ascii="Times New Roman" w:hAnsi="Times New Roman"/>
        </w:rPr>
        <w:t>10.2.1</w:t>
      </w:r>
      <w:r>
        <w:rPr>
          <w:rFonts w:ascii="Times New Roman" w:hAnsi="Times New Roman"/>
        </w:rPr>
        <w:t xml:space="preserve"> </w:t>
      </w:r>
      <w:r>
        <w:rPr>
          <w:rFonts w:hint="eastAsia" w:ascii="Times New Roman" w:hAnsi="Times New Roman"/>
          <w:kern w:val="0"/>
        </w:rPr>
        <w:t>样品分析前应分析一个实验室空白，用纯水代替水样，按照样品分析步骤进行分析。实验室空白测定值应低于方法检出限，若超出方法检出限，应查明污染源并进行消除。</w:t>
      </w:r>
    </w:p>
    <w:p>
      <w:pPr>
        <w:numPr>
          <w:ilvl w:val="255"/>
          <w:numId w:val="0"/>
        </w:numPr>
        <w:tabs>
          <w:tab w:val="left" w:pos="0"/>
        </w:tabs>
        <w:spacing w:before="0" w:beforeAutospacing="0" w:line="360" w:lineRule="auto"/>
        <w:rPr>
          <w:rFonts w:ascii="Times New Roman" w:hAnsi="Times New Roman"/>
        </w:rPr>
      </w:pPr>
      <w:r>
        <w:rPr>
          <w:rFonts w:hint="eastAsia" w:ascii="Times New Roman" w:hAnsi="Times New Roman"/>
        </w:rPr>
        <w:t>10.2.2</w:t>
      </w:r>
      <w:r>
        <w:rPr>
          <w:rFonts w:ascii="Times New Roman" w:hAnsi="Times New Roman"/>
        </w:rPr>
        <w:t xml:space="preserve"> </w:t>
      </w:r>
      <w:r>
        <w:rPr>
          <w:rFonts w:hint="eastAsia" w:ascii="Times New Roman" w:hAnsi="Times New Roman"/>
        </w:rPr>
        <w:t>每批水样应分析一个全程序空白，按照样品采集与保存（</w:t>
      </w:r>
      <w:r>
        <w:rPr>
          <w:rFonts w:hint="eastAsia" w:ascii="Times New Roman" w:hAnsi="Times New Roman"/>
        </w:rPr>
        <w:fldChar w:fldCharType="begin"/>
      </w:r>
      <w:r>
        <w:rPr>
          <w:rFonts w:hint="eastAsia" w:ascii="Times New Roman" w:hAnsi="Times New Roman"/>
        </w:rPr>
        <w:instrText xml:space="preserve"> REF _Ref11454 \w </w:instrText>
      </w:r>
      <w:r>
        <w:rPr>
          <w:rFonts w:ascii="Times New Roman" w:hAnsi="Times New Roman"/>
        </w:rPr>
        <w:instrText xml:space="preserve"> \* MERGEFORMAT </w:instrText>
      </w:r>
      <w:r>
        <w:rPr>
          <w:rFonts w:hint="eastAsia" w:ascii="Times New Roman" w:hAnsi="Times New Roman"/>
        </w:rPr>
        <w:fldChar w:fldCharType="separate"/>
      </w:r>
      <w:r>
        <w:rPr>
          <w:rFonts w:ascii="Times New Roman" w:hAnsi="Times New Roman"/>
        </w:rPr>
        <w:t>6</w:t>
      </w:r>
      <w:r>
        <w:rPr>
          <w:rFonts w:hint="eastAsia" w:ascii="Times New Roman" w:hAnsi="Times New Roman"/>
        </w:rPr>
        <w:fldChar w:fldCharType="end"/>
      </w:r>
      <w:r>
        <w:rPr>
          <w:rFonts w:ascii="Times New Roman" w:hAnsi="Times New Roman"/>
        </w:rPr>
        <w:t>.1</w:t>
      </w:r>
      <w:r>
        <w:rPr>
          <w:rFonts w:hint="eastAsia" w:ascii="Times New Roman" w:hAnsi="Times New Roman"/>
        </w:rPr>
        <w:t>）的步骤，采用与水样采集相同的装置、试剂和步骤，在采样现场，用纯水代替水样进行样品采集，然后同水样一起运回实验室，与水样同步分析。全程序空白测定值应低于方法检出限，若超出方法检出限，应查明污染源并进行消除。</w:t>
      </w:r>
    </w:p>
    <w:p>
      <w:pPr>
        <w:numPr>
          <w:ilvl w:val="255"/>
          <w:numId w:val="0"/>
        </w:numPr>
        <w:tabs>
          <w:tab w:val="left" w:pos="0"/>
        </w:tabs>
        <w:spacing w:before="0" w:beforeAutospacing="0" w:line="360" w:lineRule="auto"/>
        <w:rPr>
          <w:rFonts w:ascii="Times New Roman" w:hAnsi="Times New Roman"/>
        </w:rPr>
      </w:pPr>
      <w:r>
        <w:rPr>
          <w:rFonts w:hint="eastAsia" w:ascii="Times New Roman" w:hAnsi="Times New Roman"/>
        </w:rPr>
        <w:t>10.2.3</w:t>
      </w:r>
      <w:r>
        <w:rPr>
          <w:rFonts w:ascii="Times New Roman" w:hAnsi="Times New Roman"/>
        </w:rPr>
        <w:t xml:space="preserve"> </w:t>
      </w:r>
      <w:r>
        <w:rPr>
          <w:rFonts w:hint="eastAsia" w:ascii="Times New Roman" w:hAnsi="Times New Roman"/>
        </w:rPr>
        <w:t>分析样品前，应建立能够覆盖样品浓度范围的至少5个浓度点的校准曲线，其相关系数应≥0.995，否则应重新制作校准曲线。每测定20个样品应测定一个校准曲线中间浓度点溶液，其测定结果与校准曲线该点浓度的相对误差应为±10%，否则应重新制作校准曲线。</w:t>
      </w:r>
    </w:p>
    <w:p>
      <w:pPr>
        <w:pStyle w:val="2"/>
        <w:numPr>
          <w:ilvl w:val="0"/>
          <w:numId w:val="1"/>
        </w:numPr>
        <w:spacing w:before="318" w:beforeLines="100" w:after="318" w:afterLines="100"/>
        <w:ind w:left="0" w:firstLine="0"/>
        <w:rPr>
          <w:rFonts w:ascii="Times New Roman" w:hAnsi="Times New Roman" w:eastAsia="黑体"/>
          <w:b w:val="0"/>
          <w:bCs/>
          <w:sz w:val="21"/>
        </w:rPr>
      </w:pPr>
      <w:bookmarkStart w:id="99" w:name="_Toc47358600"/>
      <w:r>
        <w:rPr>
          <w:rFonts w:hint="eastAsia" w:ascii="Times New Roman" w:hAnsi="Times New Roman" w:eastAsia="黑体"/>
          <w:b w:val="0"/>
          <w:bCs/>
          <w:sz w:val="21"/>
        </w:rPr>
        <w:t xml:space="preserve"> 废物处理</w:t>
      </w:r>
      <w:bookmarkEnd w:id="99"/>
    </w:p>
    <w:p>
      <w:pPr>
        <w:tabs>
          <w:tab w:val="left" w:pos="0"/>
        </w:tabs>
        <w:spacing w:before="0" w:beforeAutospacing="0" w:line="360" w:lineRule="auto"/>
        <w:ind w:firstLine="420" w:firstLineChars="200"/>
      </w:pPr>
      <w:r>
        <w:rPr>
          <w:rFonts w:hint="eastAsia"/>
        </w:rPr>
        <w:t>实验产生的有机废物应集中保管，委托有资质的单位进行处理。</w:t>
      </w:r>
    </w:p>
    <w:p>
      <w:pPr>
        <w:tabs>
          <w:tab w:val="left" w:pos="0"/>
        </w:tabs>
        <w:spacing w:before="0" w:beforeAutospacing="0" w:line="360" w:lineRule="auto"/>
        <w:ind w:firstLine="420" w:firstLineChars="200"/>
        <w:rPr>
          <w:rFonts w:ascii="Times New Roman" w:hAnsi="Times New Roman" w:eastAsiaTheme="minorEastAsia"/>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pStyle w:val="2"/>
        <w:jc w:val="center"/>
        <w:rPr>
          <w:rFonts w:ascii="黑体" w:hAnsi="黑体" w:eastAsia="黑体"/>
          <w:sz w:val="21"/>
        </w:rPr>
      </w:pPr>
      <w:bookmarkStart w:id="100" w:name="_Toc47358601"/>
      <w:bookmarkStart w:id="101" w:name="_Toc23404653"/>
      <w:bookmarkStart w:id="102" w:name="_Toc28815"/>
      <w:r>
        <w:rPr>
          <w:rFonts w:hint="eastAsia" w:ascii="黑体" w:hAnsi="黑体" w:eastAsia="黑体"/>
          <w:sz w:val="21"/>
        </w:rPr>
        <w:t xml:space="preserve">附 </w:t>
      </w:r>
      <w:r>
        <w:rPr>
          <w:rFonts w:ascii="黑体" w:hAnsi="黑体" w:eastAsia="黑体"/>
          <w:sz w:val="21"/>
        </w:rPr>
        <w:t xml:space="preserve"> </w:t>
      </w:r>
      <w:r>
        <w:rPr>
          <w:rFonts w:hint="eastAsia" w:ascii="黑体" w:hAnsi="黑体" w:eastAsia="黑体"/>
          <w:sz w:val="21"/>
        </w:rPr>
        <w:t xml:space="preserve">录 </w:t>
      </w:r>
      <w:r>
        <w:rPr>
          <w:rFonts w:ascii="黑体" w:hAnsi="黑体" w:eastAsia="黑体"/>
          <w:sz w:val="21"/>
        </w:rPr>
        <w:t xml:space="preserve"> </w:t>
      </w:r>
      <w:r>
        <w:rPr>
          <w:rFonts w:hint="eastAsia" w:ascii="黑体" w:hAnsi="黑体" w:eastAsia="黑体"/>
          <w:sz w:val="21"/>
        </w:rPr>
        <w:t>A</w:t>
      </w:r>
      <w:bookmarkEnd w:id="100"/>
      <w:bookmarkEnd w:id="101"/>
      <w:bookmarkEnd w:id="102"/>
    </w:p>
    <w:p>
      <w:pPr>
        <w:pStyle w:val="2"/>
        <w:spacing w:before="0"/>
        <w:jc w:val="center"/>
        <w:rPr>
          <w:rFonts w:ascii="黑体" w:hAnsi="黑体" w:eastAsia="黑体"/>
          <w:b w:val="0"/>
          <w:sz w:val="21"/>
        </w:rPr>
      </w:pPr>
      <w:bookmarkStart w:id="103" w:name="_Toc47357873"/>
      <w:bookmarkStart w:id="104" w:name="_Toc47358602"/>
      <w:bookmarkStart w:id="105" w:name="_Toc47358250"/>
      <w:r>
        <w:rPr>
          <w:rFonts w:hint="eastAsia" w:ascii="黑体" w:hAnsi="黑体" w:eastAsia="黑体"/>
          <w:b w:val="0"/>
          <w:sz w:val="21"/>
        </w:rPr>
        <w:t>（规范性附录）</w:t>
      </w:r>
      <w:bookmarkEnd w:id="103"/>
      <w:bookmarkEnd w:id="104"/>
      <w:bookmarkEnd w:id="105"/>
    </w:p>
    <w:p>
      <w:pPr>
        <w:pStyle w:val="2"/>
        <w:spacing w:before="0"/>
        <w:jc w:val="center"/>
        <w:rPr>
          <w:rFonts w:ascii="黑体" w:hAnsi="黑体" w:eastAsia="黑体"/>
          <w:b w:val="0"/>
          <w:sz w:val="21"/>
        </w:rPr>
      </w:pPr>
      <w:bookmarkStart w:id="106" w:name="_Toc47358251"/>
      <w:bookmarkStart w:id="107" w:name="_Toc47357874"/>
      <w:bookmarkStart w:id="108" w:name="_Toc47358603"/>
      <w:r>
        <w:rPr>
          <w:rFonts w:hint="eastAsia" w:ascii="黑体" w:hAnsi="黑体" w:eastAsia="黑体"/>
          <w:b w:val="0"/>
          <w:sz w:val="21"/>
        </w:rPr>
        <w:t>方法的检出限和测定下限</w:t>
      </w:r>
      <w:bookmarkEnd w:id="106"/>
      <w:bookmarkEnd w:id="107"/>
      <w:bookmarkEnd w:id="108"/>
    </w:p>
    <w:p>
      <w:pPr>
        <w:tabs>
          <w:tab w:val="left" w:pos="0"/>
        </w:tabs>
        <w:spacing w:before="0" w:beforeAutospacing="0" w:line="360" w:lineRule="auto"/>
        <w:ind w:firstLine="420" w:firstLineChars="200"/>
        <w:jc w:val="left"/>
        <w:rPr>
          <w:rFonts w:ascii="仿宋" w:hAnsi="仿宋" w:eastAsia="仿宋" w:cs="仿宋"/>
        </w:rPr>
      </w:pPr>
      <w:r>
        <w:rPr>
          <w:rFonts w:hint="eastAsia" w:ascii="仿宋" w:hAnsi="仿宋" w:eastAsia="仿宋" w:cs="仿宋"/>
        </w:rPr>
        <w:t>表A.1 给出了目标化合物的方法检出限和测定下限</w:t>
      </w:r>
    </w:p>
    <w:p>
      <w:pPr>
        <w:tabs>
          <w:tab w:val="left" w:pos="0"/>
        </w:tabs>
        <w:spacing w:before="159" w:beforeLines="50" w:beforeAutospacing="0" w:after="159" w:afterLines="50" w:line="360" w:lineRule="auto"/>
        <w:jc w:val="center"/>
        <w:rPr>
          <w:rFonts w:ascii="黑体" w:hAnsi="黑体" w:eastAsia="黑体" w:cs="黑体"/>
        </w:rPr>
      </w:pP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 xml:space="preserve">表A.1 方法的检出限和测定下限 </w:t>
      </w:r>
      <w:r>
        <w:rPr>
          <w:rFonts w:hint="eastAsia" w:ascii="Times New Roman" w:hAnsi="Times New Roman"/>
        </w:rPr>
        <w:t xml:space="preserve">         </w:t>
      </w:r>
      <w:r>
        <w:rPr>
          <w:rFonts w:hint="eastAsia" w:cs="黑体" w:asciiTheme="minorEastAsia" w:hAnsiTheme="minorEastAsia" w:eastAsiaTheme="minorEastAsia"/>
          <w:sz w:val="18"/>
          <w:szCs w:val="18"/>
        </w:rPr>
        <w:t>单位：</w:t>
      </w:r>
      <w:r>
        <w:rPr>
          <w:rFonts w:cs="Calibri" w:asciiTheme="minorEastAsia" w:hAnsiTheme="minorEastAsia" w:eastAsiaTheme="minorEastAsia"/>
          <w:sz w:val="18"/>
          <w:szCs w:val="18"/>
        </w:rPr>
        <w:t>µ</w:t>
      </w:r>
      <w:r>
        <w:rPr>
          <w:rFonts w:hint="eastAsia" w:cs="黑体" w:asciiTheme="minorEastAsia" w:hAnsiTheme="minorEastAsia" w:eastAsiaTheme="minorEastAsia"/>
          <w:sz w:val="18"/>
          <w:szCs w:val="18"/>
        </w:rPr>
        <w:t>g/L</w:t>
      </w:r>
    </w:p>
    <w:tbl>
      <w:tblPr>
        <w:tblStyle w:val="14"/>
        <w:tblW w:w="47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1707"/>
        <w:gridCol w:w="2024"/>
        <w:gridCol w:w="1710"/>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50" w:type="pct"/>
            <w:vMerge w:val="restart"/>
            <w:tcBorders>
              <w:top w:val="single" w:color="auto" w:sz="12" w:space="0"/>
              <w:left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目标化合物</w:t>
            </w:r>
          </w:p>
        </w:tc>
        <w:tc>
          <w:tcPr>
            <w:tcW w:w="2129" w:type="pct"/>
            <w:gridSpan w:val="2"/>
            <w:tcBorders>
              <w:top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直接进样（进样量100 µL）</w:t>
            </w:r>
          </w:p>
        </w:tc>
        <w:tc>
          <w:tcPr>
            <w:tcW w:w="1921" w:type="pct"/>
            <w:gridSpan w:val="2"/>
            <w:tcBorders>
              <w:top w:val="single" w:color="auto" w:sz="12" w:space="0"/>
              <w:right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固相萃取（取样量100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50" w:type="pct"/>
            <w:vMerge w:val="continue"/>
            <w:tcBorders>
              <w:left w:val="single" w:color="auto" w:sz="12" w:space="0"/>
              <w:bottom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p>
        </w:tc>
        <w:tc>
          <w:tcPr>
            <w:tcW w:w="974" w:type="pct"/>
            <w:tcBorders>
              <w:bottom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方法检出限</w:t>
            </w:r>
          </w:p>
        </w:tc>
        <w:tc>
          <w:tcPr>
            <w:tcW w:w="1154" w:type="pct"/>
            <w:tcBorders>
              <w:bottom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测定下限</w:t>
            </w:r>
          </w:p>
        </w:tc>
        <w:tc>
          <w:tcPr>
            <w:tcW w:w="976" w:type="pct"/>
            <w:tcBorders>
              <w:bottom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方法检出限</w:t>
            </w:r>
          </w:p>
        </w:tc>
        <w:tc>
          <w:tcPr>
            <w:tcW w:w="945" w:type="pct"/>
            <w:tcBorders>
              <w:bottom w:val="single" w:color="auto" w:sz="12" w:space="0"/>
              <w:right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测定下限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50" w:type="pct"/>
            <w:tcBorders>
              <w:top w:val="single" w:color="auto" w:sz="12" w:space="0"/>
              <w:left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涕灭威</w:t>
            </w:r>
          </w:p>
        </w:tc>
        <w:tc>
          <w:tcPr>
            <w:tcW w:w="974" w:type="pct"/>
            <w:tcBorders>
              <w:top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0.18</w:t>
            </w:r>
            <w:r>
              <w:rPr>
                <w:rFonts w:asciiTheme="minorEastAsia" w:hAnsiTheme="minorEastAsia" w:eastAsiaTheme="minorEastAsia"/>
                <w:sz w:val="18"/>
                <w:szCs w:val="18"/>
              </w:rPr>
              <w:t>0</w:t>
            </w:r>
          </w:p>
        </w:tc>
        <w:tc>
          <w:tcPr>
            <w:tcW w:w="1154" w:type="pct"/>
            <w:tcBorders>
              <w:top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0.72</w:t>
            </w:r>
            <w:r>
              <w:rPr>
                <w:rFonts w:asciiTheme="minorEastAsia" w:hAnsiTheme="minorEastAsia" w:eastAsiaTheme="minorEastAsia"/>
                <w:sz w:val="18"/>
                <w:szCs w:val="18"/>
              </w:rPr>
              <w:t>0</w:t>
            </w:r>
          </w:p>
        </w:tc>
        <w:tc>
          <w:tcPr>
            <w:tcW w:w="976" w:type="pct"/>
            <w:tcBorders>
              <w:top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0.020</w:t>
            </w:r>
          </w:p>
        </w:tc>
        <w:tc>
          <w:tcPr>
            <w:tcW w:w="945" w:type="pct"/>
            <w:tcBorders>
              <w:top w:val="single" w:color="auto" w:sz="12" w:space="0"/>
              <w:right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50" w:type="pct"/>
            <w:tcBorders>
              <w:left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克百威</w:t>
            </w:r>
          </w:p>
        </w:tc>
        <w:tc>
          <w:tcPr>
            <w:tcW w:w="974" w:type="pct"/>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0.18</w:t>
            </w:r>
            <w:r>
              <w:rPr>
                <w:rFonts w:asciiTheme="minorEastAsia" w:hAnsiTheme="minorEastAsia" w:eastAsiaTheme="minorEastAsia"/>
                <w:sz w:val="18"/>
                <w:szCs w:val="18"/>
              </w:rPr>
              <w:t>0</w:t>
            </w:r>
          </w:p>
        </w:tc>
        <w:tc>
          <w:tcPr>
            <w:tcW w:w="1154" w:type="pct"/>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0.72</w:t>
            </w:r>
            <w:r>
              <w:rPr>
                <w:rFonts w:asciiTheme="minorEastAsia" w:hAnsiTheme="minorEastAsia" w:eastAsiaTheme="minorEastAsia"/>
                <w:sz w:val="18"/>
                <w:szCs w:val="18"/>
              </w:rPr>
              <w:t>0</w:t>
            </w:r>
          </w:p>
        </w:tc>
        <w:tc>
          <w:tcPr>
            <w:tcW w:w="976" w:type="pct"/>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0.018</w:t>
            </w:r>
          </w:p>
        </w:tc>
        <w:tc>
          <w:tcPr>
            <w:tcW w:w="945" w:type="pct"/>
            <w:tcBorders>
              <w:right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50" w:type="pct"/>
            <w:tcBorders>
              <w:left w:val="single" w:color="auto" w:sz="12" w:space="0"/>
              <w:bottom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甲萘威</w:t>
            </w:r>
          </w:p>
        </w:tc>
        <w:tc>
          <w:tcPr>
            <w:tcW w:w="974" w:type="pct"/>
            <w:tcBorders>
              <w:bottom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0.15</w:t>
            </w:r>
            <w:r>
              <w:rPr>
                <w:rFonts w:asciiTheme="minorEastAsia" w:hAnsiTheme="minorEastAsia" w:eastAsiaTheme="minorEastAsia"/>
                <w:sz w:val="18"/>
                <w:szCs w:val="18"/>
              </w:rPr>
              <w:t>0</w:t>
            </w:r>
          </w:p>
        </w:tc>
        <w:tc>
          <w:tcPr>
            <w:tcW w:w="1154" w:type="pct"/>
            <w:tcBorders>
              <w:bottom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0.60</w:t>
            </w:r>
            <w:r>
              <w:rPr>
                <w:rFonts w:asciiTheme="minorEastAsia" w:hAnsiTheme="minorEastAsia" w:eastAsiaTheme="minorEastAsia"/>
                <w:sz w:val="18"/>
                <w:szCs w:val="18"/>
              </w:rPr>
              <w:t>0</w:t>
            </w:r>
          </w:p>
        </w:tc>
        <w:tc>
          <w:tcPr>
            <w:tcW w:w="976" w:type="pct"/>
            <w:tcBorders>
              <w:bottom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0.015</w:t>
            </w:r>
          </w:p>
        </w:tc>
        <w:tc>
          <w:tcPr>
            <w:tcW w:w="945" w:type="pct"/>
            <w:tcBorders>
              <w:bottom w:val="single" w:color="auto" w:sz="12" w:space="0"/>
              <w:right w:val="single" w:color="auto" w:sz="12" w:space="0"/>
            </w:tcBorders>
            <w:vAlign w:val="center"/>
          </w:tcPr>
          <w:p>
            <w:pPr>
              <w:tabs>
                <w:tab w:val="left" w:pos="0"/>
              </w:tabs>
              <w:spacing w:before="0" w:beforeAutospacing="0"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0.060</w:t>
            </w:r>
          </w:p>
        </w:tc>
      </w:tr>
    </w:tbl>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pPr>
    </w:p>
    <w:p>
      <w:pPr>
        <w:tabs>
          <w:tab w:val="left" w:pos="0"/>
        </w:tabs>
        <w:spacing w:before="0" w:beforeAutospacing="0" w:line="360" w:lineRule="auto"/>
        <w:jc w:val="center"/>
        <w:rPr>
          <w:rFonts w:ascii="黑体" w:hAnsi="黑体" w:eastAsia="黑体" w:cs="黑体"/>
        </w:rPr>
        <w:sectPr>
          <w:headerReference r:id="rId9" w:type="default"/>
          <w:footerReference r:id="rId10" w:type="default"/>
          <w:pgSz w:w="11906" w:h="16838"/>
          <w:pgMar w:top="1440" w:right="1797" w:bottom="1440" w:left="1179" w:header="1417" w:footer="1134" w:gutter="0"/>
          <w:pgNumType w:start="1"/>
          <w:cols w:space="0" w:num="1"/>
          <w:docGrid w:type="lines" w:linePitch="318" w:charSpace="0"/>
        </w:sectPr>
      </w:pPr>
    </w:p>
    <w:p>
      <w:pPr>
        <w:pStyle w:val="2"/>
        <w:jc w:val="center"/>
        <w:rPr>
          <w:rFonts w:ascii="黑体" w:hAnsi="黑体" w:eastAsia="黑体"/>
          <w:sz w:val="21"/>
        </w:rPr>
      </w:pPr>
      <w:bookmarkStart w:id="109" w:name="_Toc47358604"/>
      <w:r>
        <w:rPr>
          <w:rFonts w:hint="eastAsia" w:ascii="黑体" w:hAnsi="黑体" w:eastAsia="黑体"/>
          <w:sz w:val="21"/>
        </w:rPr>
        <w:t>附  录  B</w:t>
      </w:r>
      <w:bookmarkEnd w:id="109"/>
    </w:p>
    <w:p>
      <w:pPr>
        <w:pStyle w:val="2"/>
        <w:spacing w:before="0"/>
        <w:jc w:val="center"/>
        <w:rPr>
          <w:rFonts w:ascii="黑体" w:hAnsi="黑体" w:eastAsia="黑体"/>
          <w:b w:val="0"/>
          <w:sz w:val="21"/>
        </w:rPr>
      </w:pPr>
      <w:bookmarkStart w:id="110" w:name="_Toc47358253"/>
      <w:bookmarkStart w:id="111" w:name="_Toc47357876"/>
      <w:bookmarkStart w:id="112" w:name="_Toc47358605"/>
      <w:r>
        <w:rPr>
          <w:rFonts w:hint="eastAsia" w:ascii="黑体" w:hAnsi="黑体" w:eastAsia="黑体"/>
          <w:b w:val="0"/>
          <w:sz w:val="21"/>
        </w:rPr>
        <w:t>（资料性附录）</w:t>
      </w:r>
      <w:bookmarkEnd w:id="110"/>
      <w:bookmarkEnd w:id="111"/>
      <w:bookmarkEnd w:id="112"/>
    </w:p>
    <w:p>
      <w:pPr>
        <w:pStyle w:val="2"/>
        <w:spacing w:before="0"/>
        <w:jc w:val="center"/>
        <w:rPr>
          <w:rFonts w:ascii="黑体" w:hAnsi="黑体" w:eastAsia="黑体"/>
          <w:b w:val="0"/>
          <w:sz w:val="21"/>
        </w:rPr>
      </w:pPr>
      <w:bookmarkStart w:id="113" w:name="_Toc47357877"/>
      <w:bookmarkStart w:id="114" w:name="_Toc47358254"/>
      <w:bookmarkStart w:id="115" w:name="_Toc47358606"/>
      <w:r>
        <w:rPr>
          <w:rFonts w:hint="eastAsia" w:ascii="黑体" w:hAnsi="黑体" w:eastAsia="黑体"/>
          <w:b w:val="0"/>
          <w:sz w:val="21"/>
        </w:rPr>
        <w:t>方法精密度和准确度</w:t>
      </w:r>
      <w:bookmarkEnd w:id="113"/>
      <w:bookmarkEnd w:id="114"/>
      <w:bookmarkEnd w:id="115"/>
    </w:p>
    <w:p>
      <w:pPr>
        <w:tabs>
          <w:tab w:val="left" w:pos="0"/>
        </w:tabs>
        <w:spacing w:before="0" w:beforeAutospacing="0" w:line="360" w:lineRule="auto"/>
        <w:ind w:firstLine="420" w:firstLineChars="200"/>
        <w:jc w:val="left"/>
        <w:rPr>
          <w:rFonts w:ascii="仿宋" w:hAnsi="仿宋" w:eastAsia="仿宋" w:cs="仿宋"/>
        </w:rPr>
      </w:pPr>
      <w:r>
        <w:rPr>
          <w:rFonts w:hint="eastAsia" w:ascii="仿宋" w:hAnsi="仿宋" w:eastAsia="仿宋" w:cs="仿宋"/>
        </w:rPr>
        <w:t>表B.1 给出了4家实验室</w:t>
      </w:r>
      <w:r>
        <w:rPr>
          <w:rFonts w:ascii="仿宋" w:hAnsi="仿宋" w:eastAsia="仿宋" w:cs="仿宋"/>
        </w:rPr>
        <w:t>测定的</w:t>
      </w:r>
      <w:r>
        <w:rPr>
          <w:rFonts w:hint="eastAsia" w:ascii="仿宋" w:hAnsi="仿宋" w:eastAsia="仿宋" w:cs="仿宋"/>
        </w:rPr>
        <w:t>方法重复性限、再现性限等精密度指标和加标回收率、加标回收率最终值等准确度指标。</w:t>
      </w:r>
    </w:p>
    <w:p>
      <w:pPr>
        <w:tabs>
          <w:tab w:val="left" w:pos="0"/>
        </w:tabs>
        <w:spacing w:before="159" w:beforeLines="50" w:beforeAutospacing="0" w:after="159" w:afterLines="50" w:line="360" w:lineRule="auto"/>
        <w:jc w:val="center"/>
        <w:rPr>
          <w:rFonts w:ascii="黑体" w:hAnsi="黑体" w:eastAsia="黑体" w:cs="黑体"/>
        </w:rPr>
      </w:pPr>
      <w:r>
        <w:rPr>
          <w:rFonts w:hint="eastAsia" w:ascii="黑体" w:hAnsi="黑体" w:eastAsia="黑体" w:cs="黑体"/>
        </w:rPr>
        <w:t>表B.1 方法精密度和准确度</w:t>
      </w:r>
    </w:p>
    <w:tbl>
      <w:tblPr>
        <w:tblStyle w:val="13"/>
        <w:tblW w:w="4862" w:type="pct"/>
        <w:jc w:val="center"/>
        <w:tblLayout w:type="autofit"/>
        <w:tblCellMar>
          <w:top w:w="0" w:type="dxa"/>
          <w:left w:w="0" w:type="dxa"/>
          <w:bottom w:w="0" w:type="dxa"/>
          <w:right w:w="0" w:type="dxa"/>
        </w:tblCellMar>
      </w:tblPr>
      <w:tblGrid>
        <w:gridCol w:w="1118"/>
        <w:gridCol w:w="1314"/>
        <w:gridCol w:w="1314"/>
        <w:gridCol w:w="1782"/>
        <w:gridCol w:w="1727"/>
        <w:gridCol w:w="1371"/>
        <w:gridCol w:w="1385"/>
        <w:gridCol w:w="1752"/>
        <w:gridCol w:w="1839"/>
      </w:tblGrid>
      <w:tr>
        <w:tblPrEx>
          <w:tblCellMar>
            <w:top w:w="0" w:type="dxa"/>
            <w:left w:w="0" w:type="dxa"/>
            <w:bottom w:w="0" w:type="dxa"/>
            <w:right w:w="0" w:type="dxa"/>
          </w:tblCellMar>
        </w:tblPrEx>
        <w:trPr>
          <w:trHeight w:val="654" w:hRule="atLeast"/>
          <w:jc w:val="center"/>
        </w:trPr>
        <w:tc>
          <w:tcPr>
            <w:tcW w:w="411" w:type="pct"/>
            <w:tcBorders>
              <w:top w:val="single" w:color="auto" w:sz="12" w:space="0"/>
              <w:left w:val="single" w:color="auto" w:sz="12" w:space="0"/>
              <w:bottom w:val="single" w:color="auto" w:sz="12"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化合物名称</w:t>
            </w:r>
          </w:p>
        </w:tc>
        <w:tc>
          <w:tcPr>
            <w:tcW w:w="483"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heme="minorEastAsia" w:hAnsiTheme="minorEastAsia" w:eastAsiaTheme="minorEastAsia"/>
                <w:color w:val="000000"/>
                <w:kern w:val="0"/>
                <w:sz w:val="18"/>
                <w:szCs w:val="18"/>
                <w:lang w:bidi="ar"/>
              </w:rPr>
            </w:pPr>
            <w:r>
              <w:rPr>
                <w:rFonts w:hint="eastAsia" w:asciiTheme="minorEastAsia" w:hAnsiTheme="minorEastAsia" w:eastAsiaTheme="minorEastAsia"/>
                <w:color w:val="000000"/>
                <w:kern w:val="0"/>
                <w:sz w:val="18"/>
                <w:szCs w:val="18"/>
                <w:lang w:bidi="ar"/>
              </w:rPr>
              <w:t>加标浓度（</w:t>
            </w:r>
            <w:r>
              <w:rPr>
                <w:rStyle w:val="28"/>
                <w:rFonts w:asciiTheme="minorEastAsia" w:hAnsiTheme="minorEastAsia" w:eastAsiaTheme="minorEastAsia"/>
                <w:sz w:val="18"/>
                <w:szCs w:val="18"/>
                <w:lang w:bidi="ar"/>
              </w:rPr>
              <w:t>µg/L</w:t>
            </w:r>
            <w:r>
              <w:rPr>
                <w:rFonts w:hint="eastAsia" w:asciiTheme="minorEastAsia" w:hAnsiTheme="minorEastAsia" w:eastAsiaTheme="minorEastAsia"/>
                <w:color w:val="000000"/>
                <w:kern w:val="0"/>
                <w:sz w:val="18"/>
                <w:szCs w:val="18"/>
                <w:lang w:bidi="ar"/>
              </w:rPr>
              <w:t>）</w:t>
            </w:r>
          </w:p>
        </w:tc>
        <w:tc>
          <w:tcPr>
            <w:tcW w:w="483"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平均值（</w:t>
            </w:r>
            <w:r>
              <w:rPr>
                <w:rStyle w:val="28"/>
                <w:rFonts w:asciiTheme="minorEastAsia" w:hAnsiTheme="minorEastAsia" w:eastAsiaTheme="minorEastAsia"/>
                <w:sz w:val="18"/>
                <w:szCs w:val="18"/>
                <w:lang w:bidi="ar"/>
              </w:rPr>
              <w:t>µg/L</w:t>
            </w:r>
            <w:r>
              <w:rPr>
                <w:rStyle w:val="29"/>
                <w:rFonts w:hint="default" w:cs="Times New Roman" w:asciiTheme="minorEastAsia" w:hAnsiTheme="minorEastAsia" w:eastAsiaTheme="minorEastAsia"/>
                <w:sz w:val="18"/>
                <w:szCs w:val="18"/>
                <w:lang w:bidi="ar"/>
              </w:rPr>
              <w:t>）</w:t>
            </w:r>
          </w:p>
        </w:tc>
        <w:tc>
          <w:tcPr>
            <w:tcW w:w="655"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实验室内相对标准偏差（</w:t>
            </w:r>
            <w:r>
              <w:rPr>
                <w:rStyle w:val="28"/>
                <w:rFonts w:asciiTheme="minorEastAsia" w:hAnsiTheme="minorEastAsia" w:eastAsiaTheme="minorEastAsia"/>
                <w:sz w:val="18"/>
                <w:szCs w:val="18"/>
                <w:lang w:bidi="ar"/>
              </w:rPr>
              <w:t>%</w:t>
            </w:r>
            <w:r>
              <w:rPr>
                <w:rStyle w:val="29"/>
                <w:rFonts w:hint="default" w:cs="Times New Roman" w:asciiTheme="minorEastAsia" w:hAnsiTheme="minorEastAsia" w:eastAsiaTheme="minorEastAsia"/>
                <w:sz w:val="18"/>
                <w:szCs w:val="18"/>
                <w:lang w:bidi="ar"/>
              </w:rPr>
              <w:t>）</w:t>
            </w:r>
          </w:p>
        </w:tc>
        <w:tc>
          <w:tcPr>
            <w:tcW w:w="635"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实验室间相对标准偏差（</w:t>
            </w:r>
            <w:r>
              <w:rPr>
                <w:rStyle w:val="28"/>
                <w:rFonts w:asciiTheme="minorEastAsia" w:hAnsiTheme="minorEastAsia" w:eastAsiaTheme="minorEastAsia"/>
                <w:sz w:val="18"/>
                <w:szCs w:val="18"/>
                <w:lang w:bidi="ar"/>
              </w:rPr>
              <w:t>%</w:t>
            </w:r>
            <w:r>
              <w:rPr>
                <w:rStyle w:val="29"/>
                <w:rFonts w:hint="default" w:cs="Times New Roman" w:asciiTheme="minorEastAsia" w:hAnsiTheme="minorEastAsia" w:eastAsiaTheme="minorEastAsia"/>
                <w:sz w:val="18"/>
                <w:szCs w:val="18"/>
                <w:lang w:bidi="ar"/>
              </w:rPr>
              <w:t>）</w:t>
            </w:r>
          </w:p>
        </w:tc>
        <w:tc>
          <w:tcPr>
            <w:tcW w:w="504"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重复性限</w:t>
            </w:r>
            <w:r>
              <w:rPr>
                <w:rStyle w:val="28"/>
                <w:rFonts w:asciiTheme="minorEastAsia" w:hAnsiTheme="minorEastAsia" w:eastAsiaTheme="minorEastAsia"/>
                <w:sz w:val="18"/>
                <w:szCs w:val="18"/>
                <w:lang w:bidi="ar"/>
              </w:rPr>
              <w:t>r</w:t>
            </w:r>
            <w:r>
              <w:rPr>
                <w:rStyle w:val="29"/>
                <w:rFonts w:hint="default" w:cs="Times New Roman" w:asciiTheme="minorEastAsia" w:hAnsiTheme="minorEastAsia" w:eastAsiaTheme="minorEastAsia"/>
                <w:sz w:val="18"/>
                <w:szCs w:val="18"/>
                <w:lang w:bidi="ar"/>
              </w:rPr>
              <w:t>（</w:t>
            </w:r>
            <w:r>
              <w:rPr>
                <w:rStyle w:val="28"/>
                <w:rFonts w:asciiTheme="minorEastAsia" w:hAnsiTheme="minorEastAsia" w:eastAsiaTheme="minorEastAsia"/>
                <w:sz w:val="18"/>
                <w:szCs w:val="18"/>
                <w:lang w:bidi="ar"/>
              </w:rPr>
              <w:t>µg/L</w:t>
            </w:r>
            <w:r>
              <w:rPr>
                <w:rStyle w:val="29"/>
                <w:rFonts w:hint="default" w:cs="Times New Roman" w:asciiTheme="minorEastAsia" w:hAnsiTheme="minorEastAsia" w:eastAsiaTheme="minorEastAsia"/>
                <w:sz w:val="18"/>
                <w:szCs w:val="18"/>
                <w:lang w:bidi="ar"/>
              </w:rPr>
              <w:t>）</w:t>
            </w:r>
          </w:p>
        </w:tc>
        <w:tc>
          <w:tcPr>
            <w:tcW w:w="509"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再现性限</w:t>
            </w:r>
            <w:r>
              <w:rPr>
                <w:rStyle w:val="28"/>
                <w:rFonts w:asciiTheme="minorEastAsia" w:hAnsiTheme="minorEastAsia" w:eastAsiaTheme="minorEastAsia"/>
                <w:sz w:val="18"/>
                <w:szCs w:val="18"/>
                <w:lang w:bidi="ar"/>
              </w:rPr>
              <w:t>R</w:t>
            </w:r>
            <w:r>
              <w:rPr>
                <w:rStyle w:val="29"/>
                <w:rFonts w:hint="default" w:cs="Times New Roman" w:asciiTheme="minorEastAsia" w:hAnsiTheme="minorEastAsia" w:eastAsiaTheme="minorEastAsia"/>
                <w:sz w:val="18"/>
                <w:szCs w:val="18"/>
                <w:lang w:bidi="ar"/>
              </w:rPr>
              <w:t>（</w:t>
            </w:r>
            <w:r>
              <w:rPr>
                <w:rStyle w:val="28"/>
                <w:rFonts w:asciiTheme="minorEastAsia" w:hAnsiTheme="minorEastAsia" w:eastAsiaTheme="minorEastAsia"/>
                <w:sz w:val="18"/>
                <w:szCs w:val="18"/>
                <w:lang w:bidi="ar"/>
              </w:rPr>
              <w:t>µg/L</w:t>
            </w:r>
            <w:r>
              <w:rPr>
                <w:rStyle w:val="29"/>
                <w:rFonts w:hint="default" w:cs="Times New Roman" w:asciiTheme="minorEastAsia" w:hAnsiTheme="minorEastAsia" w:eastAsiaTheme="minorEastAsia"/>
                <w:sz w:val="18"/>
                <w:szCs w:val="18"/>
                <w:lang w:bidi="ar"/>
              </w:rPr>
              <w:t>）</w:t>
            </w:r>
          </w:p>
        </w:tc>
        <w:tc>
          <w:tcPr>
            <w:tcW w:w="644" w:type="pct"/>
            <w:tcBorders>
              <w:top w:val="single" w:color="auto" w:sz="12" w:space="0"/>
              <w:left w:val="single" w:color="000000" w:sz="4" w:space="0"/>
              <w:bottom w:val="single" w:color="auto" w:sz="12" w:space="0"/>
              <w:right w:val="single" w:color="000000" w:sz="4" w:space="0"/>
            </w:tcBorders>
            <w:vAlign w:val="center"/>
          </w:tcPr>
          <w:p>
            <w:pPr>
              <w:widowControl/>
              <w:spacing w:line="240" w:lineRule="atLeast"/>
              <w:jc w:val="center"/>
              <w:textAlignment w:val="center"/>
              <w:rPr>
                <w:rFonts w:asciiTheme="minorEastAsia" w:hAnsiTheme="minorEastAsia" w:eastAsiaTheme="minorEastAsia"/>
                <w:color w:val="000000"/>
                <w:kern w:val="0"/>
                <w:sz w:val="18"/>
                <w:szCs w:val="18"/>
                <w:lang w:bidi="ar"/>
              </w:rPr>
            </w:pPr>
            <w:r>
              <w:rPr>
                <w:rFonts w:hint="eastAsia" w:asciiTheme="minorEastAsia" w:hAnsiTheme="minorEastAsia" w:eastAsiaTheme="minorEastAsia"/>
                <w:color w:val="000000"/>
                <w:kern w:val="0"/>
                <w:sz w:val="18"/>
                <w:szCs w:val="18"/>
                <w:lang w:bidi="ar"/>
              </w:rPr>
              <w:t>加标回收率（%）</w:t>
            </w:r>
          </w:p>
        </w:tc>
        <w:tc>
          <w:tcPr>
            <w:tcW w:w="676" w:type="pct"/>
            <w:tcBorders>
              <w:top w:val="single" w:color="auto" w:sz="12" w:space="0"/>
              <w:left w:val="single" w:color="000000" w:sz="4" w:space="0"/>
              <w:bottom w:val="single" w:color="auto" w:sz="12" w:space="0"/>
              <w:right w:val="single" w:color="auto" w:sz="12" w:space="0"/>
            </w:tcBorders>
            <w:vAlign w:val="center"/>
          </w:tcPr>
          <w:p>
            <w:pPr>
              <w:widowControl/>
              <w:spacing w:line="240" w:lineRule="atLeast"/>
              <w:jc w:val="center"/>
              <w:textAlignment w:val="center"/>
              <w:rPr>
                <w:rFonts w:asciiTheme="minorEastAsia" w:hAnsiTheme="minorEastAsia" w:eastAsiaTheme="minorEastAsia"/>
                <w:color w:val="000000"/>
                <w:kern w:val="0"/>
                <w:sz w:val="18"/>
                <w:szCs w:val="18"/>
                <w:lang w:bidi="ar"/>
              </w:rPr>
            </w:pPr>
            <w:r>
              <w:rPr>
                <w:rFonts w:hint="eastAsia" w:asciiTheme="minorEastAsia" w:hAnsiTheme="minorEastAsia" w:eastAsiaTheme="minorEastAsia"/>
                <w:color w:val="000000"/>
                <w:kern w:val="0"/>
                <w:sz w:val="18"/>
                <w:szCs w:val="18"/>
                <w:lang w:bidi="ar"/>
              </w:rPr>
              <w:t>加标回收率最终值（%）</w:t>
            </w:r>
          </w:p>
        </w:tc>
      </w:tr>
      <w:tr>
        <w:tblPrEx>
          <w:tblCellMar>
            <w:top w:w="0" w:type="dxa"/>
            <w:left w:w="0" w:type="dxa"/>
            <w:bottom w:w="0" w:type="dxa"/>
            <w:right w:w="0" w:type="dxa"/>
          </w:tblCellMar>
        </w:tblPrEx>
        <w:trPr>
          <w:trHeight w:val="476" w:hRule="atLeast"/>
          <w:jc w:val="center"/>
        </w:trPr>
        <w:tc>
          <w:tcPr>
            <w:tcW w:w="411" w:type="pct"/>
            <w:vMerge w:val="restart"/>
            <w:tcBorders>
              <w:top w:val="single" w:color="auto" w:sz="12"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涕灭威</w:t>
            </w:r>
          </w:p>
        </w:tc>
        <w:tc>
          <w:tcPr>
            <w:tcW w:w="483"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hint="eastAsia" w:asciiTheme="minorEastAsia" w:hAnsiTheme="minorEastAsia" w:eastAsiaTheme="minorEastAsia"/>
                <w:color w:val="000000"/>
                <w:kern w:val="0"/>
                <w:sz w:val="18"/>
                <w:szCs w:val="18"/>
                <w:lang w:bidi="ar"/>
              </w:rPr>
              <w:t>0.100</w:t>
            </w:r>
          </w:p>
        </w:tc>
        <w:tc>
          <w:tcPr>
            <w:tcW w:w="483"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0.088</w:t>
            </w:r>
          </w:p>
        </w:tc>
        <w:tc>
          <w:tcPr>
            <w:tcW w:w="655"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1.62~7.45</w:t>
            </w:r>
          </w:p>
        </w:tc>
        <w:tc>
          <w:tcPr>
            <w:tcW w:w="635"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10.9</w:t>
            </w:r>
          </w:p>
        </w:tc>
        <w:tc>
          <w:tcPr>
            <w:tcW w:w="504"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0.013</w:t>
            </w:r>
          </w:p>
        </w:tc>
        <w:tc>
          <w:tcPr>
            <w:tcW w:w="509"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0.130</w:t>
            </w:r>
          </w:p>
        </w:tc>
        <w:tc>
          <w:tcPr>
            <w:tcW w:w="644" w:type="pct"/>
            <w:tcBorders>
              <w:top w:val="single" w:color="auto" w:sz="12"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74.2～95.7</w:t>
            </w:r>
          </w:p>
        </w:tc>
        <w:tc>
          <w:tcPr>
            <w:tcW w:w="676" w:type="pct"/>
            <w:tcBorders>
              <w:top w:val="single" w:color="auto" w:sz="12" w:space="0"/>
              <w:left w:val="single" w:color="000000" w:sz="4" w:space="0"/>
              <w:bottom w:val="single" w:color="000000" w:sz="4"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88.2±19.3</w:t>
            </w:r>
          </w:p>
        </w:tc>
      </w:tr>
      <w:tr>
        <w:tblPrEx>
          <w:tblCellMar>
            <w:top w:w="0" w:type="dxa"/>
            <w:left w:w="0" w:type="dxa"/>
            <w:bottom w:w="0" w:type="dxa"/>
            <w:right w:w="0" w:type="dxa"/>
          </w:tblCellMar>
        </w:tblPrEx>
        <w:trPr>
          <w:trHeight w:val="476" w:hRule="atLeast"/>
          <w:jc w:val="center"/>
        </w:trPr>
        <w:tc>
          <w:tcPr>
            <w:tcW w:w="411"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0.982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2.79~8.35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1.46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0.163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1.43</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94.9～101</w:t>
            </w:r>
          </w:p>
        </w:tc>
        <w:tc>
          <w:tcPr>
            <w:tcW w:w="676" w:type="pct"/>
            <w:tcBorders>
              <w:top w:val="single" w:color="000000" w:sz="4" w:space="0"/>
              <w:left w:val="single" w:color="000000" w:sz="4" w:space="0"/>
              <w:bottom w:val="single" w:color="000000" w:sz="4"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98.2±4.83</w:t>
            </w:r>
          </w:p>
        </w:tc>
      </w:tr>
      <w:tr>
        <w:tblPrEx>
          <w:tblCellMar>
            <w:top w:w="0" w:type="dxa"/>
            <w:left w:w="0" w:type="dxa"/>
            <w:bottom w:w="0" w:type="dxa"/>
            <w:right w:w="0" w:type="dxa"/>
          </w:tblCellMar>
        </w:tblPrEx>
        <w:trPr>
          <w:trHeight w:val="476" w:hRule="atLeast"/>
          <w:jc w:val="center"/>
        </w:trPr>
        <w:tc>
          <w:tcPr>
            <w:tcW w:w="411"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10.1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1.02~4.53</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1.97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0.867</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14.7</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98.5～103</w:t>
            </w:r>
          </w:p>
        </w:tc>
        <w:tc>
          <w:tcPr>
            <w:tcW w:w="676" w:type="pct"/>
            <w:tcBorders>
              <w:top w:val="single" w:color="000000" w:sz="4" w:space="0"/>
              <w:left w:val="single" w:color="000000" w:sz="4" w:space="0"/>
              <w:bottom w:val="single" w:color="000000" w:sz="4"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101±3.99</w:t>
            </w:r>
          </w:p>
        </w:tc>
      </w:tr>
      <w:tr>
        <w:tblPrEx>
          <w:tblCellMar>
            <w:top w:w="0" w:type="dxa"/>
            <w:left w:w="0" w:type="dxa"/>
            <w:bottom w:w="0" w:type="dxa"/>
            <w:right w:w="0" w:type="dxa"/>
          </w:tblCellMar>
        </w:tblPrEx>
        <w:trPr>
          <w:trHeight w:val="476" w:hRule="atLeast"/>
          <w:jc w:val="center"/>
        </w:trPr>
        <w:tc>
          <w:tcPr>
            <w:tcW w:w="411" w:type="pct"/>
            <w:vMerge w:val="restart"/>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克百威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hint="eastAsia" w:asciiTheme="minorEastAsia" w:hAnsiTheme="minorEastAsia" w:eastAsiaTheme="minorEastAsia"/>
                <w:color w:val="000000"/>
                <w:kern w:val="0"/>
                <w:sz w:val="18"/>
                <w:szCs w:val="18"/>
                <w:lang w:bidi="ar"/>
              </w:rPr>
              <w:t>0.100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0.088</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1.05~6.52</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11.2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0.011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0.020</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74.0～96.8</w:t>
            </w:r>
          </w:p>
        </w:tc>
        <w:tc>
          <w:tcPr>
            <w:tcW w:w="676" w:type="pct"/>
            <w:tcBorders>
              <w:top w:val="single" w:color="000000" w:sz="4" w:space="0"/>
              <w:left w:val="single" w:color="000000" w:sz="4" w:space="0"/>
              <w:bottom w:val="single" w:color="000000" w:sz="4"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88.1±19.7</w:t>
            </w:r>
          </w:p>
        </w:tc>
      </w:tr>
      <w:tr>
        <w:tblPrEx>
          <w:tblCellMar>
            <w:top w:w="0" w:type="dxa"/>
            <w:left w:w="0" w:type="dxa"/>
            <w:bottom w:w="0" w:type="dxa"/>
            <w:right w:w="0" w:type="dxa"/>
          </w:tblCellMar>
        </w:tblPrEx>
        <w:trPr>
          <w:trHeight w:val="476" w:hRule="atLeast"/>
          <w:jc w:val="center"/>
        </w:trPr>
        <w:tc>
          <w:tcPr>
            <w:tcW w:w="411"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0.900</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3.77~7.32</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3.98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0.151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1.32</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85.5～93.5</w:t>
            </w:r>
          </w:p>
        </w:tc>
        <w:tc>
          <w:tcPr>
            <w:tcW w:w="676" w:type="pct"/>
            <w:tcBorders>
              <w:top w:val="single" w:color="000000" w:sz="4" w:space="0"/>
              <w:left w:val="single" w:color="000000" w:sz="4" w:space="0"/>
              <w:bottom w:val="single" w:color="000000" w:sz="4"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90.4±7.20</w:t>
            </w:r>
          </w:p>
        </w:tc>
      </w:tr>
      <w:tr>
        <w:tblPrEx>
          <w:tblCellMar>
            <w:top w:w="0" w:type="dxa"/>
            <w:left w:w="0" w:type="dxa"/>
            <w:bottom w:w="0" w:type="dxa"/>
            <w:right w:w="0" w:type="dxa"/>
          </w:tblCellMar>
        </w:tblPrEx>
        <w:trPr>
          <w:trHeight w:val="476" w:hRule="atLeast"/>
          <w:jc w:val="center"/>
        </w:trPr>
        <w:tc>
          <w:tcPr>
            <w:tcW w:w="411"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9.97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1.38~3.81</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3.21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0.780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14.5</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95.9～104</w:t>
            </w:r>
          </w:p>
        </w:tc>
        <w:tc>
          <w:tcPr>
            <w:tcW w:w="676" w:type="pct"/>
            <w:tcBorders>
              <w:top w:val="single" w:color="000000" w:sz="4" w:space="0"/>
              <w:left w:val="single" w:color="000000" w:sz="4" w:space="0"/>
              <w:bottom w:val="single" w:color="000000" w:sz="4"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99.7±6.40</w:t>
            </w:r>
          </w:p>
        </w:tc>
      </w:tr>
      <w:tr>
        <w:tblPrEx>
          <w:tblCellMar>
            <w:top w:w="0" w:type="dxa"/>
            <w:left w:w="0" w:type="dxa"/>
            <w:bottom w:w="0" w:type="dxa"/>
            <w:right w:w="0" w:type="dxa"/>
          </w:tblCellMar>
        </w:tblPrEx>
        <w:trPr>
          <w:trHeight w:val="476" w:hRule="atLeast"/>
          <w:jc w:val="center"/>
        </w:trPr>
        <w:tc>
          <w:tcPr>
            <w:tcW w:w="411" w:type="pct"/>
            <w:vMerge w:val="restart"/>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甲萘威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hint="eastAsia" w:asciiTheme="minorEastAsia" w:hAnsiTheme="minorEastAsia" w:eastAsiaTheme="minorEastAsia"/>
                <w:color w:val="000000"/>
                <w:kern w:val="0"/>
                <w:sz w:val="18"/>
                <w:szCs w:val="18"/>
                <w:lang w:bidi="ar"/>
              </w:rPr>
              <w:t>0.095</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0.087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1.58~5.19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17.0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0.010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0.129</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70.1～101</w:t>
            </w:r>
          </w:p>
        </w:tc>
        <w:tc>
          <w:tcPr>
            <w:tcW w:w="676" w:type="pct"/>
            <w:tcBorders>
              <w:top w:val="single" w:color="000000" w:sz="4" w:space="0"/>
              <w:left w:val="single" w:color="000000" w:sz="4" w:space="0"/>
              <w:bottom w:val="single" w:color="000000" w:sz="4"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90.1±27.4</w:t>
            </w:r>
          </w:p>
        </w:tc>
      </w:tr>
      <w:tr>
        <w:tblPrEx>
          <w:tblCellMar>
            <w:top w:w="0" w:type="dxa"/>
            <w:left w:w="0" w:type="dxa"/>
            <w:bottom w:w="0" w:type="dxa"/>
            <w:right w:w="0" w:type="dxa"/>
          </w:tblCellMar>
        </w:tblPrEx>
        <w:trPr>
          <w:trHeight w:val="476" w:hRule="atLeast"/>
          <w:jc w:val="center"/>
        </w:trPr>
        <w:tc>
          <w:tcPr>
            <w:tcW w:w="411"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0.945</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0.880</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3.11~5.37</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17.2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0.098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1.32</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70.2～102</w:t>
            </w:r>
          </w:p>
        </w:tc>
        <w:tc>
          <w:tcPr>
            <w:tcW w:w="676" w:type="pct"/>
            <w:tcBorders>
              <w:top w:val="single" w:color="000000" w:sz="4" w:space="0"/>
              <w:left w:val="single" w:color="000000" w:sz="4" w:space="0"/>
              <w:bottom w:val="single" w:color="000000" w:sz="4"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91.6±28.9</w:t>
            </w:r>
          </w:p>
        </w:tc>
      </w:tr>
      <w:tr>
        <w:tblPrEx>
          <w:tblCellMar>
            <w:top w:w="0" w:type="dxa"/>
            <w:left w:w="0" w:type="dxa"/>
            <w:bottom w:w="0" w:type="dxa"/>
            <w:right w:w="0" w:type="dxa"/>
          </w:tblCellMar>
        </w:tblPrEx>
        <w:trPr>
          <w:trHeight w:val="476" w:hRule="atLeast"/>
          <w:jc w:val="center"/>
        </w:trPr>
        <w:tc>
          <w:tcPr>
            <w:tcW w:w="411" w:type="pct"/>
            <w:vMerge w:val="continue"/>
            <w:tcBorders>
              <w:top w:val="single" w:color="000000" w:sz="4" w:space="0"/>
              <w:left w:val="single" w:color="auto" w:sz="12" w:space="0"/>
              <w:bottom w:val="single" w:color="auto" w:sz="12"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483"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9.45</w:t>
            </w:r>
          </w:p>
        </w:tc>
        <w:tc>
          <w:tcPr>
            <w:tcW w:w="483"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9.65</w:t>
            </w:r>
          </w:p>
        </w:tc>
        <w:tc>
          <w:tcPr>
            <w:tcW w:w="655"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1.18~3.76</w:t>
            </w:r>
          </w:p>
        </w:tc>
        <w:tc>
          <w:tcPr>
            <w:tcW w:w="635"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2.05</w:t>
            </w:r>
          </w:p>
        </w:tc>
        <w:tc>
          <w:tcPr>
            <w:tcW w:w="504"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0.857</w:t>
            </w:r>
          </w:p>
        </w:tc>
        <w:tc>
          <w:tcPr>
            <w:tcW w:w="509"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14.0</w:t>
            </w:r>
          </w:p>
        </w:tc>
        <w:tc>
          <w:tcPr>
            <w:tcW w:w="644" w:type="pct"/>
            <w:tcBorders>
              <w:top w:val="single" w:color="000000" w:sz="4" w:space="0"/>
              <w:left w:val="single" w:color="000000" w:sz="4" w:space="0"/>
              <w:bottom w:val="single" w:color="auto" w:sz="12" w:space="0"/>
              <w:right w:val="single" w:color="000000" w:sz="4"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98.0～104</w:t>
            </w:r>
          </w:p>
        </w:tc>
        <w:tc>
          <w:tcPr>
            <w:tcW w:w="676" w:type="pct"/>
            <w:tcBorders>
              <w:top w:val="single" w:color="000000" w:sz="4" w:space="0"/>
              <w:left w:val="single" w:color="000000" w:sz="4" w:space="0"/>
              <w:bottom w:val="single" w:color="auto" w:sz="12" w:space="0"/>
              <w:right w:val="single" w:color="auto" w:sz="12" w:space="0"/>
            </w:tcBorders>
            <w:vAlign w:val="center"/>
          </w:tcPr>
          <w:p>
            <w:pPr>
              <w:widowControl/>
              <w:jc w:val="center"/>
              <w:textAlignment w:val="center"/>
              <w:rPr>
                <w:rFonts w:asciiTheme="minorEastAsia" w:hAnsiTheme="minorEastAsia" w:eastAsiaTheme="minorEastAsia"/>
                <w:color w:val="000000"/>
                <w:kern w:val="0"/>
                <w:sz w:val="18"/>
                <w:szCs w:val="18"/>
                <w:lang w:bidi="ar"/>
              </w:rPr>
            </w:pPr>
            <w:r>
              <w:rPr>
                <w:rFonts w:asciiTheme="minorEastAsia" w:hAnsiTheme="minorEastAsia" w:eastAsiaTheme="minorEastAsia"/>
                <w:color w:val="000000"/>
                <w:kern w:val="0"/>
                <w:sz w:val="18"/>
                <w:szCs w:val="18"/>
                <w:lang w:bidi="ar"/>
              </w:rPr>
              <w:t>101±5.10</w:t>
            </w:r>
          </w:p>
        </w:tc>
      </w:tr>
    </w:tbl>
    <w:p>
      <w:pPr>
        <w:tabs>
          <w:tab w:val="left" w:pos="0"/>
        </w:tabs>
        <w:spacing w:before="0" w:beforeAutospacing="0" w:line="360" w:lineRule="auto"/>
        <w:ind w:firstLine="420" w:firstLineChars="200"/>
        <w:jc w:val="left"/>
        <w:rPr>
          <w:rFonts w:ascii="仿宋" w:hAnsi="仿宋" w:eastAsia="仿宋" w:cs="仿宋"/>
        </w:rPr>
      </w:pPr>
    </w:p>
    <w:p>
      <w:pPr>
        <w:tabs>
          <w:tab w:val="left" w:pos="0"/>
        </w:tabs>
        <w:spacing w:before="0" w:beforeAutospacing="0" w:line="360" w:lineRule="auto"/>
        <w:ind w:firstLine="420" w:firstLineChars="200"/>
        <w:jc w:val="left"/>
        <w:rPr>
          <w:rFonts w:ascii="仿宋" w:hAnsi="仿宋" w:eastAsia="仿宋" w:cs="仿宋"/>
        </w:rPr>
      </w:pPr>
      <w:r>
        <w:rPr>
          <w:rFonts w:hint="eastAsia" w:ascii="仿宋" w:hAnsi="仿宋" w:eastAsia="仿宋" w:cs="仿宋"/>
        </w:rPr>
        <w:t>表B.2 给出了4家实验室测定地下水、地表水和饮用水时，方法的加标回收率范围、加标回收率最终值等准确度指标。</w:t>
      </w:r>
    </w:p>
    <w:p>
      <w:pPr>
        <w:tabs>
          <w:tab w:val="left" w:pos="0"/>
        </w:tabs>
        <w:spacing w:before="159" w:beforeLines="50" w:beforeAutospacing="0" w:after="159" w:afterLines="50" w:line="360" w:lineRule="auto"/>
        <w:jc w:val="center"/>
        <w:rPr>
          <w:rFonts w:ascii="黑体" w:hAnsi="黑体" w:eastAsia="黑体" w:cs="黑体"/>
        </w:rPr>
      </w:pPr>
      <w:r>
        <w:rPr>
          <w:rFonts w:hint="eastAsia" w:ascii="黑体" w:hAnsi="黑体" w:eastAsia="黑体" w:cs="黑体"/>
        </w:rPr>
        <w:t>表B.2 实际水样加标回收率</w:t>
      </w:r>
    </w:p>
    <w:tbl>
      <w:tblPr>
        <w:tblStyle w:val="13"/>
        <w:tblW w:w="4442" w:type="pct"/>
        <w:jc w:val="center"/>
        <w:tblLayout w:type="autofit"/>
        <w:tblCellMar>
          <w:top w:w="0" w:type="dxa"/>
          <w:left w:w="0" w:type="dxa"/>
          <w:bottom w:w="0" w:type="dxa"/>
          <w:right w:w="0" w:type="dxa"/>
        </w:tblCellMar>
      </w:tblPr>
      <w:tblGrid>
        <w:gridCol w:w="1573"/>
        <w:gridCol w:w="2352"/>
        <w:gridCol w:w="2754"/>
        <w:gridCol w:w="2869"/>
        <w:gridCol w:w="2879"/>
      </w:tblGrid>
      <w:tr>
        <w:tblPrEx>
          <w:tblCellMar>
            <w:top w:w="0" w:type="dxa"/>
            <w:left w:w="0" w:type="dxa"/>
            <w:bottom w:w="0" w:type="dxa"/>
            <w:right w:w="0" w:type="dxa"/>
          </w:tblCellMar>
        </w:tblPrEx>
        <w:trPr>
          <w:trHeight w:val="942" w:hRule="atLeast"/>
          <w:jc w:val="center"/>
        </w:trPr>
        <w:tc>
          <w:tcPr>
            <w:tcW w:w="633" w:type="pct"/>
            <w:tcBorders>
              <w:top w:val="single" w:color="auto" w:sz="12" w:space="0"/>
              <w:left w:val="single" w:color="auto" w:sz="12" w:space="0"/>
              <w:bottom w:val="single" w:color="auto" w:sz="12"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kern w:val="0"/>
                <w:sz w:val="18"/>
                <w:szCs w:val="18"/>
                <w:lang w:bidi="ar"/>
              </w:rPr>
              <w:t>样品类型</w:t>
            </w:r>
          </w:p>
        </w:tc>
        <w:tc>
          <w:tcPr>
            <w:tcW w:w="946"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化合物名称</w:t>
            </w:r>
          </w:p>
        </w:tc>
        <w:tc>
          <w:tcPr>
            <w:tcW w:w="1108"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加标浓度范围（µg/L</w:t>
            </w:r>
            <w:r>
              <w:rPr>
                <w:rFonts w:hint="eastAsia" w:cs="宋体" w:asciiTheme="minorEastAsia" w:hAnsiTheme="minorEastAsia" w:eastAsiaTheme="minorEastAsia"/>
                <w:color w:val="000000"/>
                <w:kern w:val="0"/>
                <w:sz w:val="18"/>
                <w:szCs w:val="18"/>
                <w:lang w:bidi="ar"/>
              </w:rPr>
              <w:t>）</w:t>
            </w:r>
          </w:p>
        </w:tc>
        <w:tc>
          <w:tcPr>
            <w:tcW w:w="1154" w:type="pct"/>
            <w:tcBorders>
              <w:top w:val="single" w:color="auto" w:sz="12"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加标回收率（%</w:t>
            </w:r>
            <w:r>
              <w:rPr>
                <w:rFonts w:hint="eastAsia" w:cs="宋体" w:asciiTheme="minorEastAsia" w:hAnsiTheme="minorEastAsia" w:eastAsiaTheme="minorEastAsia"/>
                <w:kern w:val="0"/>
                <w:sz w:val="18"/>
                <w:szCs w:val="18"/>
                <w:lang w:bidi="ar"/>
              </w:rPr>
              <w:t>）</w:t>
            </w:r>
          </w:p>
        </w:tc>
        <w:tc>
          <w:tcPr>
            <w:tcW w:w="1158" w:type="pct"/>
            <w:tcBorders>
              <w:top w:val="single" w:color="auto" w:sz="12" w:space="0"/>
              <w:left w:val="single" w:color="000000" w:sz="4" w:space="0"/>
              <w:bottom w:val="single" w:color="auto" w:sz="12" w:space="0"/>
              <w:right w:val="single" w:color="auto" w:sz="12"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加标回收率最终值（%</w:t>
            </w:r>
            <w:r>
              <w:rPr>
                <w:rFonts w:hint="eastAsia" w:cs="宋体" w:asciiTheme="minorEastAsia" w:hAnsiTheme="minorEastAsia" w:eastAsiaTheme="minorEastAsia"/>
                <w:kern w:val="0"/>
                <w:sz w:val="18"/>
                <w:szCs w:val="18"/>
                <w:lang w:bidi="ar"/>
              </w:rPr>
              <w:t>）</w:t>
            </w:r>
          </w:p>
        </w:tc>
      </w:tr>
      <w:tr>
        <w:tblPrEx>
          <w:tblCellMar>
            <w:top w:w="0" w:type="dxa"/>
            <w:left w:w="0" w:type="dxa"/>
            <w:bottom w:w="0" w:type="dxa"/>
            <w:right w:w="0" w:type="dxa"/>
          </w:tblCellMar>
        </w:tblPrEx>
        <w:trPr>
          <w:trHeight w:val="498" w:hRule="atLeast"/>
          <w:jc w:val="center"/>
        </w:trPr>
        <w:tc>
          <w:tcPr>
            <w:tcW w:w="633" w:type="pct"/>
            <w:vMerge w:val="restart"/>
            <w:tcBorders>
              <w:top w:val="single" w:color="auto" w:sz="12"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地下水</w:t>
            </w:r>
          </w:p>
        </w:tc>
        <w:tc>
          <w:tcPr>
            <w:tcW w:w="946"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涕灭威</w:t>
            </w:r>
          </w:p>
        </w:tc>
        <w:tc>
          <w:tcPr>
            <w:tcW w:w="1108"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0.500~10.0</w:t>
            </w:r>
          </w:p>
        </w:tc>
        <w:tc>
          <w:tcPr>
            <w:tcW w:w="1154" w:type="pct"/>
            <w:tcBorders>
              <w:top w:val="single" w:color="auto"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89.5~99.0</w:t>
            </w:r>
          </w:p>
        </w:tc>
        <w:tc>
          <w:tcPr>
            <w:tcW w:w="1158" w:type="pct"/>
            <w:tcBorders>
              <w:top w:val="single" w:color="auto" w:sz="12" w:space="0"/>
              <w:left w:val="single" w:color="000000" w:sz="4" w:space="0"/>
              <w:bottom w:val="single" w:color="000000" w:sz="4"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94.2±8.44</w:t>
            </w:r>
          </w:p>
        </w:tc>
      </w:tr>
      <w:tr>
        <w:tblPrEx>
          <w:tblCellMar>
            <w:top w:w="0" w:type="dxa"/>
            <w:left w:w="0" w:type="dxa"/>
            <w:bottom w:w="0" w:type="dxa"/>
            <w:right w:w="0" w:type="dxa"/>
          </w:tblCellMar>
        </w:tblPrEx>
        <w:trPr>
          <w:trHeight w:val="498" w:hRule="atLeast"/>
          <w:jc w:val="center"/>
        </w:trPr>
        <w:tc>
          <w:tcPr>
            <w:tcW w:w="633"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克百威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0.500~10.0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87.3~102</w:t>
            </w:r>
          </w:p>
        </w:tc>
        <w:tc>
          <w:tcPr>
            <w:tcW w:w="1158" w:type="pct"/>
            <w:tcBorders>
              <w:top w:val="single" w:color="000000" w:sz="4" w:space="0"/>
              <w:left w:val="single" w:color="000000" w:sz="4" w:space="0"/>
              <w:bottom w:val="single" w:color="000000" w:sz="4"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93.3±13.2</w:t>
            </w:r>
          </w:p>
        </w:tc>
      </w:tr>
      <w:tr>
        <w:tblPrEx>
          <w:tblCellMar>
            <w:top w:w="0" w:type="dxa"/>
            <w:left w:w="0" w:type="dxa"/>
            <w:bottom w:w="0" w:type="dxa"/>
            <w:right w:w="0" w:type="dxa"/>
          </w:tblCellMar>
        </w:tblPrEx>
        <w:trPr>
          <w:trHeight w:val="498" w:hRule="atLeast"/>
          <w:jc w:val="center"/>
        </w:trPr>
        <w:tc>
          <w:tcPr>
            <w:tcW w:w="633"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甲萘威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0.473~9.45</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88.3~106</w:t>
            </w:r>
          </w:p>
        </w:tc>
        <w:tc>
          <w:tcPr>
            <w:tcW w:w="1158" w:type="pct"/>
            <w:tcBorders>
              <w:top w:val="single" w:color="000000" w:sz="4" w:space="0"/>
              <w:left w:val="single" w:color="000000" w:sz="4" w:space="0"/>
              <w:bottom w:val="single" w:color="000000" w:sz="4"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95.6±14.7</w:t>
            </w:r>
          </w:p>
        </w:tc>
      </w:tr>
      <w:tr>
        <w:tblPrEx>
          <w:tblCellMar>
            <w:top w:w="0" w:type="dxa"/>
            <w:left w:w="0" w:type="dxa"/>
            <w:bottom w:w="0" w:type="dxa"/>
            <w:right w:w="0" w:type="dxa"/>
          </w:tblCellMar>
        </w:tblPrEx>
        <w:trPr>
          <w:trHeight w:val="498" w:hRule="atLeast"/>
          <w:jc w:val="center"/>
        </w:trPr>
        <w:tc>
          <w:tcPr>
            <w:tcW w:w="633" w:type="pct"/>
            <w:vMerge w:val="restart"/>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地表水</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涕灭威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5.00~10.0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95.1~101</w:t>
            </w:r>
          </w:p>
        </w:tc>
        <w:tc>
          <w:tcPr>
            <w:tcW w:w="1158" w:type="pct"/>
            <w:tcBorders>
              <w:top w:val="single" w:color="000000" w:sz="4" w:space="0"/>
              <w:left w:val="single" w:color="000000" w:sz="4" w:space="0"/>
              <w:bottom w:val="single" w:color="000000" w:sz="4"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99.0±5.28</w:t>
            </w:r>
          </w:p>
        </w:tc>
      </w:tr>
      <w:tr>
        <w:tblPrEx>
          <w:tblCellMar>
            <w:top w:w="0" w:type="dxa"/>
            <w:left w:w="0" w:type="dxa"/>
            <w:bottom w:w="0" w:type="dxa"/>
            <w:right w:w="0" w:type="dxa"/>
          </w:tblCellMar>
        </w:tblPrEx>
        <w:trPr>
          <w:trHeight w:val="498" w:hRule="atLeast"/>
          <w:jc w:val="center"/>
        </w:trPr>
        <w:tc>
          <w:tcPr>
            <w:tcW w:w="633"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克百威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5.00~10.0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93.2~106</w:t>
            </w:r>
          </w:p>
        </w:tc>
        <w:tc>
          <w:tcPr>
            <w:tcW w:w="1158" w:type="pct"/>
            <w:tcBorders>
              <w:top w:val="single" w:color="000000" w:sz="4" w:space="0"/>
              <w:left w:val="single" w:color="000000" w:sz="4" w:space="0"/>
              <w:bottom w:val="single" w:color="000000" w:sz="4"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98.2±10.9</w:t>
            </w:r>
          </w:p>
        </w:tc>
      </w:tr>
      <w:tr>
        <w:tblPrEx>
          <w:tblCellMar>
            <w:top w:w="0" w:type="dxa"/>
            <w:left w:w="0" w:type="dxa"/>
            <w:bottom w:w="0" w:type="dxa"/>
            <w:right w:w="0" w:type="dxa"/>
          </w:tblCellMar>
        </w:tblPrEx>
        <w:trPr>
          <w:trHeight w:val="498" w:hRule="atLeast"/>
          <w:jc w:val="center"/>
        </w:trPr>
        <w:tc>
          <w:tcPr>
            <w:tcW w:w="633"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甲萘威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4.73~9.45</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91.4~105</w:t>
            </w:r>
          </w:p>
        </w:tc>
        <w:tc>
          <w:tcPr>
            <w:tcW w:w="1158" w:type="pct"/>
            <w:tcBorders>
              <w:top w:val="single" w:color="000000" w:sz="4" w:space="0"/>
              <w:left w:val="single" w:color="000000" w:sz="4" w:space="0"/>
              <w:bottom w:val="single" w:color="000000" w:sz="4"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96.3±12.2</w:t>
            </w:r>
          </w:p>
        </w:tc>
      </w:tr>
      <w:tr>
        <w:tblPrEx>
          <w:tblCellMar>
            <w:top w:w="0" w:type="dxa"/>
            <w:left w:w="0" w:type="dxa"/>
            <w:bottom w:w="0" w:type="dxa"/>
            <w:right w:w="0" w:type="dxa"/>
          </w:tblCellMar>
        </w:tblPrEx>
        <w:trPr>
          <w:trHeight w:val="498" w:hRule="atLeast"/>
          <w:jc w:val="center"/>
        </w:trPr>
        <w:tc>
          <w:tcPr>
            <w:tcW w:w="633" w:type="pct"/>
            <w:vMerge w:val="restart"/>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饮用水</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涕灭威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5.00~10.0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91.4~99.3</w:t>
            </w:r>
          </w:p>
        </w:tc>
        <w:tc>
          <w:tcPr>
            <w:tcW w:w="1158" w:type="pct"/>
            <w:tcBorders>
              <w:top w:val="single" w:color="000000" w:sz="4" w:space="0"/>
              <w:left w:val="single" w:color="000000" w:sz="4" w:space="0"/>
              <w:bottom w:val="single" w:color="000000" w:sz="4"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97.0±7.50</w:t>
            </w:r>
          </w:p>
        </w:tc>
      </w:tr>
      <w:tr>
        <w:tblPrEx>
          <w:tblCellMar>
            <w:top w:w="0" w:type="dxa"/>
            <w:left w:w="0" w:type="dxa"/>
            <w:bottom w:w="0" w:type="dxa"/>
            <w:right w:w="0" w:type="dxa"/>
          </w:tblCellMar>
        </w:tblPrEx>
        <w:trPr>
          <w:trHeight w:val="498" w:hRule="atLeast"/>
          <w:jc w:val="center"/>
        </w:trPr>
        <w:tc>
          <w:tcPr>
            <w:tcW w:w="633" w:type="pct"/>
            <w:vMerge w:val="continue"/>
            <w:tcBorders>
              <w:top w:val="single" w:color="000000" w:sz="4" w:space="0"/>
              <w:left w:val="single" w:color="auto"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克百威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5.00~10.0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91.9~98.5</w:t>
            </w:r>
          </w:p>
        </w:tc>
        <w:tc>
          <w:tcPr>
            <w:tcW w:w="1158" w:type="pct"/>
            <w:tcBorders>
              <w:top w:val="single" w:color="000000" w:sz="4" w:space="0"/>
              <w:left w:val="single" w:color="000000" w:sz="4" w:space="0"/>
              <w:bottom w:val="single" w:color="000000" w:sz="4"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94.4±5.74</w:t>
            </w:r>
          </w:p>
        </w:tc>
      </w:tr>
      <w:tr>
        <w:tblPrEx>
          <w:tblCellMar>
            <w:top w:w="0" w:type="dxa"/>
            <w:left w:w="0" w:type="dxa"/>
            <w:bottom w:w="0" w:type="dxa"/>
            <w:right w:w="0" w:type="dxa"/>
          </w:tblCellMar>
        </w:tblPrEx>
        <w:trPr>
          <w:trHeight w:val="498" w:hRule="atLeast"/>
          <w:jc w:val="center"/>
        </w:trPr>
        <w:tc>
          <w:tcPr>
            <w:tcW w:w="633" w:type="pct"/>
            <w:vMerge w:val="continue"/>
            <w:tcBorders>
              <w:top w:val="single" w:color="000000" w:sz="4" w:space="0"/>
              <w:left w:val="single" w:color="auto" w:sz="12" w:space="0"/>
              <w:bottom w:val="single" w:color="auto" w:sz="12"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olor w:val="000000"/>
                <w:sz w:val="18"/>
                <w:szCs w:val="18"/>
              </w:rPr>
            </w:pPr>
          </w:p>
        </w:tc>
        <w:tc>
          <w:tcPr>
            <w:tcW w:w="946"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甲萘威</w:t>
            </w:r>
          </w:p>
        </w:tc>
        <w:tc>
          <w:tcPr>
            <w:tcW w:w="1108"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4.73~9.45</w:t>
            </w:r>
          </w:p>
        </w:tc>
        <w:tc>
          <w:tcPr>
            <w:tcW w:w="1154" w:type="pct"/>
            <w:tcBorders>
              <w:top w:val="single" w:color="000000" w:sz="4" w:space="0"/>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lang w:bidi="ar"/>
              </w:rPr>
              <w:t>92.4~95.9</w:t>
            </w:r>
          </w:p>
        </w:tc>
        <w:tc>
          <w:tcPr>
            <w:tcW w:w="1158" w:type="pct"/>
            <w:tcBorders>
              <w:top w:val="single" w:color="000000" w:sz="4" w:space="0"/>
              <w:left w:val="single" w:color="000000" w:sz="4" w:space="0"/>
              <w:bottom w:val="single" w:color="auto" w:sz="12" w:space="0"/>
              <w:right w:val="single" w:color="auto" w:sz="12"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lang w:bidi="ar"/>
              </w:rPr>
              <w:t>94.7±3.26</w:t>
            </w:r>
          </w:p>
        </w:tc>
      </w:tr>
    </w:tbl>
    <w:p>
      <w:pPr>
        <w:tabs>
          <w:tab w:val="left" w:pos="0"/>
        </w:tabs>
        <w:spacing w:before="0" w:beforeAutospacing="0" w:line="360" w:lineRule="auto"/>
        <w:rPr>
          <w:rFonts w:ascii="Times New Roman" w:hAnsi="Times New Roman"/>
        </w:rPr>
      </w:pPr>
      <w:r>
        <w:rPr>
          <w:rFonts w:hint="eastAsia"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3150235</wp:posOffset>
                </wp:positionH>
                <wp:positionV relativeFrom="paragraph">
                  <wp:posOffset>509905</wp:posOffset>
                </wp:positionV>
                <wp:extent cx="2206625" cy="0"/>
                <wp:effectExtent l="0" t="0" r="22860" b="19050"/>
                <wp:wrapNone/>
                <wp:docPr id="3" name="直接连接符 3"/>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8.05pt;margin-top:40.15pt;height:0pt;width:173.75pt;z-index:251661312;mso-width-relative:page;mso-height-relative:page;" filled="f" stroked="t" coordsize="21600,21600" o:gfxdata="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Ab2dLXAAAACQEAAA8AAAAAAAAAAQAgAAAAIgAAAGRycy9kb3ducmV2LnhtbFBLAQIUABQA&#10;AAAIAIdO4kDi/9w+8QEAANMDAAAOAAAAAAAAAAEAIAAAACYBAABkcnMvZTJvRG9jLnhtbFBLBQYA&#10;AAAABgAGAFkBAACJBQAAAAA=&#10;">
                <v:fill on="f" focussize="0,0"/>
                <v:stroke color="#000000 [3200]" joinstyle="round"/>
                <v:imagedata o:title=""/>
                <o:lock v:ext="edit" aspectratio="f"/>
              </v:line>
            </w:pict>
          </mc:Fallback>
        </mc:AlternateContent>
      </w:r>
    </w:p>
    <w:sectPr>
      <w:pgSz w:w="16838" w:h="11906" w:orient="landscape"/>
      <w:pgMar w:top="1797" w:right="1440" w:bottom="1179" w:left="1440" w:header="1417" w:footer="1134"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86662"/>
      <w:docPartObj>
        <w:docPartGallery w:val="AutoText"/>
      </w:docPartObj>
    </w:sdtPr>
    <w:sdtEndPr>
      <w:rPr>
        <w:rFonts w:asciiTheme="minorEastAsia" w:hAnsiTheme="minorEastAsia" w:eastAsiaTheme="minorEastAsia"/>
      </w:rPr>
    </w:sdtEndPr>
    <w:sdtContent>
      <w:p>
        <w:pPr>
          <w:pStyle w:val="8"/>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10</w:t>
        </w:r>
        <w:r>
          <w:rPr>
            <w:rFonts w:asciiTheme="minorEastAsia" w:hAnsiTheme="minorEastAsia" w:eastAsiaTheme="minorEastAsia"/>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549040"/>
      <w:docPartObj>
        <w:docPartGallery w:val="AutoText"/>
      </w:docPartObj>
    </w:sdtPr>
    <w:sdtContent>
      <w:p>
        <w:pPr>
          <w:pStyle w:val="8"/>
          <w:jc w:val="center"/>
        </w:pPr>
        <w:r>
          <w:fldChar w:fldCharType="begin"/>
        </w:r>
        <w:r>
          <w:instrText xml:space="preserve">PAGE   \* MERGEFORMAT</w:instrText>
        </w:r>
        <w:r>
          <w:fldChar w:fldCharType="separate"/>
        </w:r>
        <w:r>
          <w:rPr>
            <w:lang w:val="zh-CN"/>
          </w:rPr>
          <w:t>III</w:t>
        </w:r>
        <w: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9781078"/>
      <w:docPartObj>
        <w:docPartGallery w:val="AutoText"/>
      </w:docPartObj>
    </w:sdtPr>
    <w:sdtContent>
      <w:p>
        <w:pPr>
          <w:pStyle w:val="8"/>
          <w:jc w:val="right"/>
        </w:pPr>
        <w:r>
          <w:fldChar w:fldCharType="begin"/>
        </w:r>
        <w:r>
          <w:instrText xml:space="preserve">PAGE   \* MERGEFORMAT</w:instrText>
        </w:r>
        <w:r>
          <w:fldChar w:fldCharType="separate"/>
        </w:r>
        <w:r>
          <w:rPr>
            <w:lang w:val="zh-CN"/>
          </w:rPr>
          <w:t>III</w:t>
        </w:r>
        <w: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934085"/>
    </w:sdtPr>
    <w:sdtEndPr>
      <w:rPr>
        <w:rFonts w:asciiTheme="minorEastAsia" w:hAnsiTheme="minorEastAsia" w:eastAsiaTheme="minorEastAsia"/>
      </w:rPr>
    </w:sdtEndPr>
    <w:sdtContent>
      <w:p>
        <w:pPr>
          <w:pStyle w:val="8"/>
          <w:jc w:val="right"/>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9</w:t>
        </w:r>
        <w:r>
          <w:rPr>
            <w:rFonts w:asciiTheme="minorEastAsia" w:hAnsiTheme="minorEastAsia" w:eastAsiaTheme="minorEastAsia"/>
          </w:rPr>
          <w:fldChar w:fldCharType="end"/>
        </w:r>
      </w:p>
    </w:sdtContent>
  </w:sdt>
  <w:p>
    <w:pPr>
      <w:pStyle w:val="8"/>
      <w:tabs>
        <w:tab w:val="center" w:pos="4156"/>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Times New Roman" w:hAnsi="Times New Roman" w:eastAsia="黑体"/>
      </w:rPr>
    </w:pPr>
    <w:r>
      <w:rPr>
        <w:rFonts w:ascii="Times New Roman" w:hAnsi="Times New Roman" w:eastAsia="黑体"/>
        <w:b/>
      </w:rPr>
      <w:t>T/CHES X</w:t>
    </w:r>
    <w:r>
      <w:rPr>
        <w:rFonts w:ascii="Times New Roman" w:hAnsi="Times New Roman"/>
        <w:b/>
      </w:rPr>
      <w:t>X</w:t>
    </w:r>
    <w:r>
      <w:rPr>
        <w:rFonts w:ascii="Times New Roman" w:hAnsi="Times New Roman" w:eastAsia="黑体"/>
        <w:b/>
      </w:rPr>
      <w:t>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Times New Roman" w:hAnsi="Times New Roman"/>
        <w:b/>
      </w:rPr>
      <w:t>T/CHES 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eastAsia="黑体"/>
      </w:rPr>
    </w:pPr>
    <w:r>
      <w:rPr>
        <w:rFonts w:ascii="Times New Roman" w:hAnsi="Times New Roman" w:eastAsia="黑体"/>
        <w:b/>
      </w:rPr>
      <w:t>T/CHES X</w:t>
    </w:r>
    <w:r>
      <w:rPr>
        <w:rFonts w:ascii="Times New Roman" w:hAnsi="Times New Roman"/>
        <w:b/>
      </w:rPr>
      <w:t>X</w:t>
    </w:r>
    <w:r>
      <w:rPr>
        <w:rFonts w:ascii="Times New Roman" w:hAnsi="Times New Roman" w:eastAsia="黑体"/>
        <w:b/>
      </w:rPr>
      <w:t>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ED4B1"/>
    <w:multiLevelType w:val="multilevel"/>
    <w:tmpl w:val="E62ED4B1"/>
    <w:lvl w:ilvl="0" w:tentative="0">
      <w:start w:val="1"/>
      <w:numFmt w:val="decimal"/>
      <w:lvlText w:val="%1."/>
      <w:lvlJc w:val="left"/>
      <w:pPr>
        <w:ind w:left="425" w:hanging="425"/>
      </w:pPr>
      <w:rPr>
        <w:rFonts w:hint="default"/>
      </w:rPr>
    </w:lvl>
    <w:lvl w:ilvl="1" w:tentative="0">
      <w:start w:val="1"/>
      <w:numFmt w:val="decimal"/>
      <w:lvlRestart w:val="0"/>
      <w:isLgl/>
      <w:suff w:val="space"/>
      <w:lvlText w:val="7.%2"/>
      <w:lvlJc w:val="left"/>
      <w:pPr>
        <w:tabs>
          <w:tab w:val="left" w:pos="0"/>
        </w:tabs>
        <w:ind w:left="567" w:hanging="567"/>
      </w:pPr>
      <w:rPr>
        <w:rFonts w:hint="default" w:ascii="黑体" w:hAnsi="黑体" w:eastAsia="黑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51F80B85"/>
    <w:multiLevelType w:val="multilevel"/>
    <w:tmpl w:val="51F80B85"/>
    <w:lvl w:ilvl="0" w:tentative="0">
      <w:start w:val="1"/>
      <w:numFmt w:val="decimal"/>
      <w:suff w:val="space"/>
      <w:lvlText w:val="10.1.%1"/>
      <w:lvlJc w:val="left"/>
      <w:pPr>
        <w:tabs>
          <w:tab w:val="left" w:pos="0"/>
        </w:tabs>
        <w:ind w:left="0" w:firstLine="0"/>
      </w:pPr>
      <w:rPr>
        <w:rFonts w:hint="default" w:ascii="黑体" w:hAnsi="黑体" w:eastAsia="黑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59F7F57C"/>
    <w:multiLevelType w:val="multilevel"/>
    <w:tmpl w:val="59F7F57C"/>
    <w:lvl w:ilvl="0" w:tentative="0">
      <w:start w:val="1"/>
      <w:numFmt w:val="decimal"/>
      <w:suff w:val="space"/>
      <w:lvlText w:val="4.%1"/>
      <w:lvlJc w:val="left"/>
      <w:pPr>
        <w:tabs>
          <w:tab w:val="left" w:pos="0"/>
        </w:tabs>
        <w:ind w:left="0" w:firstLine="0"/>
      </w:pPr>
      <w:rPr>
        <w:rFonts w:hint="default" w:ascii="黑体" w:hAnsi="黑体" w:eastAsia="黑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59F844BE"/>
    <w:multiLevelType w:val="multilevel"/>
    <w:tmpl w:val="59F844BE"/>
    <w:lvl w:ilvl="0" w:tentative="0">
      <w:start w:val="1"/>
      <w:numFmt w:val="decimal"/>
      <w:suff w:val="space"/>
      <w:lvlText w:val="5.%1"/>
      <w:lvlJc w:val="left"/>
      <w:pPr>
        <w:tabs>
          <w:tab w:val="left" w:pos="0"/>
        </w:tabs>
        <w:ind w:left="0" w:firstLine="0"/>
      </w:pPr>
      <w:rPr>
        <w:rFonts w:hint="default" w:ascii="黑体" w:hAnsi="黑体" w:eastAsia="黑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59F97829"/>
    <w:multiLevelType w:val="singleLevel"/>
    <w:tmpl w:val="59F97829"/>
    <w:lvl w:ilvl="0" w:tentative="0">
      <w:start w:val="1"/>
      <w:numFmt w:val="lowerLetter"/>
      <w:lvlText w:val="%1）"/>
      <w:lvlJc w:val="left"/>
      <w:pPr>
        <w:tabs>
          <w:tab w:val="left" w:pos="420"/>
        </w:tabs>
        <w:ind w:left="425" w:hanging="425"/>
      </w:pPr>
      <w:rPr>
        <w:rFonts w:hint="default"/>
      </w:rPr>
    </w:lvl>
  </w:abstractNum>
  <w:abstractNum w:abstractNumId="5">
    <w:nsid w:val="59F978B6"/>
    <w:multiLevelType w:val="singleLevel"/>
    <w:tmpl w:val="59F978B6"/>
    <w:lvl w:ilvl="0" w:tentative="0">
      <w:start w:val="1"/>
      <w:numFmt w:val="lowerLetter"/>
      <w:lvlText w:val="%1）"/>
      <w:lvlJc w:val="left"/>
      <w:pPr>
        <w:tabs>
          <w:tab w:val="left" w:pos="420"/>
        </w:tabs>
        <w:ind w:left="425" w:hanging="425"/>
      </w:pPr>
      <w:rPr>
        <w:rFonts w:hint="default"/>
      </w:rPr>
    </w:lvl>
  </w:abstractNum>
  <w:abstractNum w:abstractNumId="6">
    <w:nsid w:val="59FBC0F5"/>
    <w:multiLevelType w:val="singleLevel"/>
    <w:tmpl w:val="59FBC0F5"/>
    <w:lvl w:ilvl="0" w:tentative="0">
      <w:start w:val="1"/>
      <w:numFmt w:val="decimal"/>
      <w:suff w:val="space"/>
      <w:lvlText w:val="%1"/>
      <w:lvlJc w:val="left"/>
      <w:pPr>
        <w:tabs>
          <w:tab w:val="left" w:pos="420"/>
        </w:tabs>
        <w:ind w:left="425" w:hanging="425"/>
      </w:pPr>
      <w:rPr>
        <w:rFonts w:hint="default"/>
      </w:r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E7"/>
    <w:rsid w:val="000000FD"/>
    <w:rsid w:val="000009CA"/>
    <w:rsid w:val="00001BA8"/>
    <w:rsid w:val="000030D6"/>
    <w:rsid w:val="00003D1C"/>
    <w:rsid w:val="00004657"/>
    <w:rsid w:val="0000516C"/>
    <w:rsid w:val="00006856"/>
    <w:rsid w:val="00007467"/>
    <w:rsid w:val="00011236"/>
    <w:rsid w:val="00011256"/>
    <w:rsid w:val="0001243C"/>
    <w:rsid w:val="000131DF"/>
    <w:rsid w:val="000140B1"/>
    <w:rsid w:val="0001453D"/>
    <w:rsid w:val="0001493C"/>
    <w:rsid w:val="0001581C"/>
    <w:rsid w:val="0001588E"/>
    <w:rsid w:val="000203E2"/>
    <w:rsid w:val="00020694"/>
    <w:rsid w:val="00022EED"/>
    <w:rsid w:val="0002321D"/>
    <w:rsid w:val="000232EF"/>
    <w:rsid w:val="00023D5E"/>
    <w:rsid w:val="00025050"/>
    <w:rsid w:val="000253EC"/>
    <w:rsid w:val="00025A10"/>
    <w:rsid w:val="00027E25"/>
    <w:rsid w:val="000302F9"/>
    <w:rsid w:val="000306FC"/>
    <w:rsid w:val="00030B5D"/>
    <w:rsid w:val="000315A5"/>
    <w:rsid w:val="000322BB"/>
    <w:rsid w:val="00032B1E"/>
    <w:rsid w:val="00033AC9"/>
    <w:rsid w:val="00034011"/>
    <w:rsid w:val="000340E8"/>
    <w:rsid w:val="00034C49"/>
    <w:rsid w:val="000363D8"/>
    <w:rsid w:val="000368FD"/>
    <w:rsid w:val="0003720A"/>
    <w:rsid w:val="0003782E"/>
    <w:rsid w:val="00040D22"/>
    <w:rsid w:val="00042605"/>
    <w:rsid w:val="0004360E"/>
    <w:rsid w:val="00043746"/>
    <w:rsid w:val="00047222"/>
    <w:rsid w:val="00047370"/>
    <w:rsid w:val="000473A6"/>
    <w:rsid w:val="00047842"/>
    <w:rsid w:val="000500C8"/>
    <w:rsid w:val="0005150B"/>
    <w:rsid w:val="0005351E"/>
    <w:rsid w:val="00053D43"/>
    <w:rsid w:val="00054D77"/>
    <w:rsid w:val="00055762"/>
    <w:rsid w:val="00055D85"/>
    <w:rsid w:val="0005641F"/>
    <w:rsid w:val="000565C1"/>
    <w:rsid w:val="00056879"/>
    <w:rsid w:val="000568CD"/>
    <w:rsid w:val="00056E5C"/>
    <w:rsid w:val="00057C64"/>
    <w:rsid w:val="00061193"/>
    <w:rsid w:val="00061296"/>
    <w:rsid w:val="000621AA"/>
    <w:rsid w:val="000627B6"/>
    <w:rsid w:val="000636DE"/>
    <w:rsid w:val="00064449"/>
    <w:rsid w:val="000663D8"/>
    <w:rsid w:val="000676FA"/>
    <w:rsid w:val="00070E9D"/>
    <w:rsid w:val="00071E7E"/>
    <w:rsid w:val="000733B9"/>
    <w:rsid w:val="00074C6C"/>
    <w:rsid w:val="00076E1E"/>
    <w:rsid w:val="00080EDE"/>
    <w:rsid w:val="000818D7"/>
    <w:rsid w:val="000819E3"/>
    <w:rsid w:val="00082FBD"/>
    <w:rsid w:val="00084790"/>
    <w:rsid w:val="00085569"/>
    <w:rsid w:val="00085711"/>
    <w:rsid w:val="00085F28"/>
    <w:rsid w:val="000863F1"/>
    <w:rsid w:val="00086401"/>
    <w:rsid w:val="000869D9"/>
    <w:rsid w:val="00086A7D"/>
    <w:rsid w:val="00087A35"/>
    <w:rsid w:val="00090786"/>
    <w:rsid w:val="000933CF"/>
    <w:rsid w:val="00094211"/>
    <w:rsid w:val="00095381"/>
    <w:rsid w:val="0009595B"/>
    <w:rsid w:val="00097609"/>
    <w:rsid w:val="00097E1F"/>
    <w:rsid w:val="000A0CF4"/>
    <w:rsid w:val="000A1042"/>
    <w:rsid w:val="000A1AC3"/>
    <w:rsid w:val="000A1B48"/>
    <w:rsid w:val="000A2312"/>
    <w:rsid w:val="000A30C5"/>
    <w:rsid w:val="000A3ED7"/>
    <w:rsid w:val="000A42B7"/>
    <w:rsid w:val="000A449D"/>
    <w:rsid w:val="000A468F"/>
    <w:rsid w:val="000A48AC"/>
    <w:rsid w:val="000A4A5F"/>
    <w:rsid w:val="000A528F"/>
    <w:rsid w:val="000A5807"/>
    <w:rsid w:val="000A5EFB"/>
    <w:rsid w:val="000A6BD0"/>
    <w:rsid w:val="000A75ED"/>
    <w:rsid w:val="000A7F00"/>
    <w:rsid w:val="000B1DDD"/>
    <w:rsid w:val="000B2581"/>
    <w:rsid w:val="000B3F70"/>
    <w:rsid w:val="000B430B"/>
    <w:rsid w:val="000B5CF3"/>
    <w:rsid w:val="000B6E1B"/>
    <w:rsid w:val="000C0137"/>
    <w:rsid w:val="000C0E4C"/>
    <w:rsid w:val="000C1824"/>
    <w:rsid w:val="000C1BDD"/>
    <w:rsid w:val="000C1D80"/>
    <w:rsid w:val="000C2C9B"/>
    <w:rsid w:val="000C336C"/>
    <w:rsid w:val="000C4340"/>
    <w:rsid w:val="000C4B78"/>
    <w:rsid w:val="000C4E76"/>
    <w:rsid w:val="000C64F6"/>
    <w:rsid w:val="000C6610"/>
    <w:rsid w:val="000C7707"/>
    <w:rsid w:val="000C7F64"/>
    <w:rsid w:val="000D0F57"/>
    <w:rsid w:val="000D1268"/>
    <w:rsid w:val="000D1329"/>
    <w:rsid w:val="000D242F"/>
    <w:rsid w:val="000D26D1"/>
    <w:rsid w:val="000D2BCC"/>
    <w:rsid w:val="000D382A"/>
    <w:rsid w:val="000D41BC"/>
    <w:rsid w:val="000D572F"/>
    <w:rsid w:val="000D5A1E"/>
    <w:rsid w:val="000D5F6E"/>
    <w:rsid w:val="000D62A4"/>
    <w:rsid w:val="000D6470"/>
    <w:rsid w:val="000D7125"/>
    <w:rsid w:val="000D74B0"/>
    <w:rsid w:val="000D74E6"/>
    <w:rsid w:val="000D77FC"/>
    <w:rsid w:val="000D78D1"/>
    <w:rsid w:val="000E0629"/>
    <w:rsid w:val="000E0C9B"/>
    <w:rsid w:val="000E13CC"/>
    <w:rsid w:val="000E1EEF"/>
    <w:rsid w:val="000E226C"/>
    <w:rsid w:val="000E26DE"/>
    <w:rsid w:val="000E2889"/>
    <w:rsid w:val="000E2DBD"/>
    <w:rsid w:val="000E4E72"/>
    <w:rsid w:val="000E57B7"/>
    <w:rsid w:val="000E6932"/>
    <w:rsid w:val="000E698E"/>
    <w:rsid w:val="000E6F26"/>
    <w:rsid w:val="000E7B72"/>
    <w:rsid w:val="000F1449"/>
    <w:rsid w:val="000F2401"/>
    <w:rsid w:val="000F25CC"/>
    <w:rsid w:val="000F2ED0"/>
    <w:rsid w:val="000F349A"/>
    <w:rsid w:val="000F4796"/>
    <w:rsid w:val="000F5111"/>
    <w:rsid w:val="000F53C4"/>
    <w:rsid w:val="000F5726"/>
    <w:rsid w:val="000F6123"/>
    <w:rsid w:val="000F6778"/>
    <w:rsid w:val="000F6AA5"/>
    <w:rsid w:val="000F6DF2"/>
    <w:rsid w:val="000F6EC1"/>
    <w:rsid w:val="000F7B56"/>
    <w:rsid w:val="000F7D76"/>
    <w:rsid w:val="0010084E"/>
    <w:rsid w:val="00102283"/>
    <w:rsid w:val="00102462"/>
    <w:rsid w:val="00103487"/>
    <w:rsid w:val="00104848"/>
    <w:rsid w:val="00104A10"/>
    <w:rsid w:val="00105818"/>
    <w:rsid w:val="001069E3"/>
    <w:rsid w:val="00111AE2"/>
    <w:rsid w:val="00113876"/>
    <w:rsid w:val="001141BD"/>
    <w:rsid w:val="0011444A"/>
    <w:rsid w:val="001144B9"/>
    <w:rsid w:val="00115A5E"/>
    <w:rsid w:val="00117892"/>
    <w:rsid w:val="00120A19"/>
    <w:rsid w:val="00122290"/>
    <w:rsid w:val="00122497"/>
    <w:rsid w:val="0012256E"/>
    <w:rsid w:val="001229B0"/>
    <w:rsid w:val="001272E8"/>
    <w:rsid w:val="00127762"/>
    <w:rsid w:val="001277CE"/>
    <w:rsid w:val="00127894"/>
    <w:rsid w:val="001278D3"/>
    <w:rsid w:val="00127928"/>
    <w:rsid w:val="00127A56"/>
    <w:rsid w:val="00127D7B"/>
    <w:rsid w:val="00130497"/>
    <w:rsid w:val="00130D36"/>
    <w:rsid w:val="00133F66"/>
    <w:rsid w:val="0013409A"/>
    <w:rsid w:val="001349FE"/>
    <w:rsid w:val="00134A55"/>
    <w:rsid w:val="001352A1"/>
    <w:rsid w:val="00136281"/>
    <w:rsid w:val="0013630F"/>
    <w:rsid w:val="0013642C"/>
    <w:rsid w:val="00136CF7"/>
    <w:rsid w:val="0013753E"/>
    <w:rsid w:val="00140523"/>
    <w:rsid w:val="001412B8"/>
    <w:rsid w:val="00141CA1"/>
    <w:rsid w:val="00142E2A"/>
    <w:rsid w:val="001436C5"/>
    <w:rsid w:val="00145366"/>
    <w:rsid w:val="00145B76"/>
    <w:rsid w:val="00146338"/>
    <w:rsid w:val="00146B2D"/>
    <w:rsid w:val="00147244"/>
    <w:rsid w:val="00147CD2"/>
    <w:rsid w:val="0015092A"/>
    <w:rsid w:val="00150A52"/>
    <w:rsid w:val="00150D4D"/>
    <w:rsid w:val="001526B2"/>
    <w:rsid w:val="00153291"/>
    <w:rsid w:val="00153DBF"/>
    <w:rsid w:val="00154056"/>
    <w:rsid w:val="00154534"/>
    <w:rsid w:val="00154A90"/>
    <w:rsid w:val="00154B5A"/>
    <w:rsid w:val="00154D25"/>
    <w:rsid w:val="001552A6"/>
    <w:rsid w:val="00155B9A"/>
    <w:rsid w:val="00155EE4"/>
    <w:rsid w:val="00156095"/>
    <w:rsid w:val="00156A77"/>
    <w:rsid w:val="00156D1B"/>
    <w:rsid w:val="00156D2F"/>
    <w:rsid w:val="00160940"/>
    <w:rsid w:val="00160F18"/>
    <w:rsid w:val="00162985"/>
    <w:rsid w:val="001635E5"/>
    <w:rsid w:val="00165F54"/>
    <w:rsid w:val="0016642E"/>
    <w:rsid w:val="0016680B"/>
    <w:rsid w:val="001677F0"/>
    <w:rsid w:val="00167C22"/>
    <w:rsid w:val="00167D3F"/>
    <w:rsid w:val="001709B3"/>
    <w:rsid w:val="001714CE"/>
    <w:rsid w:val="00171573"/>
    <w:rsid w:val="0017219B"/>
    <w:rsid w:val="00172292"/>
    <w:rsid w:val="00173404"/>
    <w:rsid w:val="0017340D"/>
    <w:rsid w:val="001738FA"/>
    <w:rsid w:val="0017545B"/>
    <w:rsid w:val="0017595A"/>
    <w:rsid w:val="001768EA"/>
    <w:rsid w:val="00177015"/>
    <w:rsid w:val="001774E5"/>
    <w:rsid w:val="0017772C"/>
    <w:rsid w:val="0018043C"/>
    <w:rsid w:val="00181839"/>
    <w:rsid w:val="001829E1"/>
    <w:rsid w:val="00182B3C"/>
    <w:rsid w:val="00183F67"/>
    <w:rsid w:val="00185080"/>
    <w:rsid w:val="00185769"/>
    <w:rsid w:val="00185C03"/>
    <w:rsid w:val="001864F1"/>
    <w:rsid w:val="00186DBD"/>
    <w:rsid w:val="00187710"/>
    <w:rsid w:val="00187CB3"/>
    <w:rsid w:val="001911B8"/>
    <w:rsid w:val="00192283"/>
    <w:rsid w:val="001932CB"/>
    <w:rsid w:val="0019452F"/>
    <w:rsid w:val="001948F3"/>
    <w:rsid w:val="00194C31"/>
    <w:rsid w:val="00196227"/>
    <w:rsid w:val="001A06CE"/>
    <w:rsid w:val="001A0AEE"/>
    <w:rsid w:val="001A1F31"/>
    <w:rsid w:val="001A2069"/>
    <w:rsid w:val="001A31F3"/>
    <w:rsid w:val="001A337E"/>
    <w:rsid w:val="001A3B18"/>
    <w:rsid w:val="001A3CB7"/>
    <w:rsid w:val="001A418C"/>
    <w:rsid w:val="001A47AB"/>
    <w:rsid w:val="001A7B24"/>
    <w:rsid w:val="001B22B5"/>
    <w:rsid w:val="001B23CF"/>
    <w:rsid w:val="001B33B9"/>
    <w:rsid w:val="001B36BC"/>
    <w:rsid w:val="001B55D1"/>
    <w:rsid w:val="001B57C0"/>
    <w:rsid w:val="001B5ADD"/>
    <w:rsid w:val="001B5F4E"/>
    <w:rsid w:val="001B695D"/>
    <w:rsid w:val="001C059C"/>
    <w:rsid w:val="001C1034"/>
    <w:rsid w:val="001C1CDC"/>
    <w:rsid w:val="001C3215"/>
    <w:rsid w:val="001C4C66"/>
    <w:rsid w:val="001C6B29"/>
    <w:rsid w:val="001D0849"/>
    <w:rsid w:val="001D12EA"/>
    <w:rsid w:val="001D13BC"/>
    <w:rsid w:val="001D19CC"/>
    <w:rsid w:val="001D1CD0"/>
    <w:rsid w:val="001D1CE6"/>
    <w:rsid w:val="001D2089"/>
    <w:rsid w:val="001D2603"/>
    <w:rsid w:val="001D341D"/>
    <w:rsid w:val="001D404D"/>
    <w:rsid w:val="001D4722"/>
    <w:rsid w:val="001D4B71"/>
    <w:rsid w:val="001D5AB0"/>
    <w:rsid w:val="001D6E18"/>
    <w:rsid w:val="001E0A2F"/>
    <w:rsid w:val="001E219A"/>
    <w:rsid w:val="001E31BC"/>
    <w:rsid w:val="001E32B7"/>
    <w:rsid w:val="001E75B4"/>
    <w:rsid w:val="001E79C6"/>
    <w:rsid w:val="001F17A4"/>
    <w:rsid w:val="001F2417"/>
    <w:rsid w:val="001F28B8"/>
    <w:rsid w:val="001F3182"/>
    <w:rsid w:val="001F3316"/>
    <w:rsid w:val="001F419E"/>
    <w:rsid w:val="001F4A51"/>
    <w:rsid w:val="001F5FD4"/>
    <w:rsid w:val="001F6F5E"/>
    <w:rsid w:val="0020063B"/>
    <w:rsid w:val="00200F06"/>
    <w:rsid w:val="00201390"/>
    <w:rsid w:val="00201419"/>
    <w:rsid w:val="00201638"/>
    <w:rsid w:val="00201B23"/>
    <w:rsid w:val="00203DB5"/>
    <w:rsid w:val="002052CC"/>
    <w:rsid w:val="002055A0"/>
    <w:rsid w:val="00205965"/>
    <w:rsid w:val="00205D66"/>
    <w:rsid w:val="002075A9"/>
    <w:rsid w:val="0021030F"/>
    <w:rsid w:val="00211034"/>
    <w:rsid w:val="0021125F"/>
    <w:rsid w:val="00211C3B"/>
    <w:rsid w:val="00211C53"/>
    <w:rsid w:val="00211CDE"/>
    <w:rsid w:val="00212CE8"/>
    <w:rsid w:val="002131A8"/>
    <w:rsid w:val="002136DA"/>
    <w:rsid w:val="00213F6F"/>
    <w:rsid w:val="002140A5"/>
    <w:rsid w:val="00214540"/>
    <w:rsid w:val="00216A14"/>
    <w:rsid w:val="00216E3C"/>
    <w:rsid w:val="002176A0"/>
    <w:rsid w:val="00220907"/>
    <w:rsid w:val="00220B74"/>
    <w:rsid w:val="002210B2"/>
    <w:rsid w:val="00222D21"/>
    <w:rsid w:val="00223B6F"/>
    <w:rsid w:val="00223F2B"/>
    <w:rsid w:val="00223FCB"/>
    <w:rsid w:val="00226774"/>
    <w:rsid w:val="0023008F"/>
    <w:rsid w:val="00230DA1"/>
    <w:rsid w:val="0023127C"/>
    <w:rsid w:val="00231983"/>
    <w:rsid w:val="00231E10"/>
    <w:rsid w:val="00232154"/>
    <w:rsid w:val="00234428"/>
    <w:rsid w:val="0023551B"/>
    <w:rsid w:val="002368BB"/>
    <w:rsid w:val="0023694C"/>
    <w:rsid w:val="00237AD9"/>
    <w:rsid w:val="00240BD5"/>
    <w:rsid w:val="002411FE"/>
    <w:rsid w:val="002421B4"/>
    <w:rsid w:val="0024239C"/>
    <w:rsid w:val="00242510"/>
    <w:rsid w:val="00242B3A"/>
    <w:rsid w:val="00245D37"/>
    <w:rsid w:val="00246F2A"/>
    <w:rsid w:val="00247B9A"/>
    <w:rsid w:val="00250364"/>
    <w:rsid w:val="00250493"/>
    <w:rsid w:val="00250CB9"/>
    <w:rsid w:val="00251417"/>
    <w:rsid w:val="002516EF"/>
    <w:rsid w:val="002519E0"/>
    <w:rsid w:val="00251B5E"/>
    <w:rsid w:val="002530B2"/>
    <w:rsid w:val="0025348A"/>
    <w:rsid w:val="002543BC"/>
    <w:rsid w:val="00254C9B"/>
    <w:rsid w:val="00255345"/>
    <w:rsid w:val="002565C9"/>
    <w:rsid w:val="00260184"/>
    <w:rsid w:val="00260798"/>
    <w:rsid w:val="00260820"/>
    <w:rsid w:val="00260ABA"/>
    <w:rsid w:val="002614F6"/>
    <w:rsid w:val="00262C91"/>
    <w:rsid w:val="00264A19"/>
    <w:rsid w:val="00264C3C"/>
    <w:rsid w:val="002650DC"/>
    <w:rsid w:val="002655C3"/>
    <w:rsid w:val="002660F0"/>
    <w:rsid w:val="00266135"/>
    <w:rsid w:val="00266880"/>
    <w:rsid w:val="002668AC"/>
    <w:rsid w:val="00266A35"/>
    <w:rsid w:val="00267195"/>
    <w:rsid w:val="00267FA2"/>
    <w:rsid w:val="00270AE1"/>
    <w:rsid w:val="002715E4"/>
    <w:rsid w:val="00271914"/>
    <w:rsid w:val="00271BA3"/>
    <w:rsid w:val="00272524"/>
    <w:rsid w:val="00272B67"/>
    <w:rsid w:val="00272BF5"/>
    <w:rsid w:val="00273891"/>
    <w:rsid w:val="00275891"/>
    <w:rsid w:val="0027696A"/>
    <w:rsid w:val="00276BCD"/>
    <w:rsid w:val="00277370"/>
    <w:rsid w:val="002774FE"/>
    <w:rsid w:val="00281274"/>
    <w:rsid w:val="00282929"/>
    <w:rsid w:val="00282D36"/>
    <w:rsid w:val="002830A0"/>
    <w:rsid w:val="002842B2"/>
    <w:rsid w:val="00284BF0"/>
    <w:rsid w:val="00285483"/>
    <w:rsid w:val="00285928"/>
    <w:rsid w:val="00285D33"/>
    <w:rsid w:val="00286433"/>
    <w:rsid w:val="00287658"/>
    <w:rsid w:val="00287BE4"/>
    <w:rsid w:val="0029089B"/>
    <w:rsid w:val="00290A7C"/>
    <w:rsid w:val="00290FE6"/>
    <w:rsid w:val="00291CBE"/>
    <w:rsid w:val="0029260D"/>
    <w:rsid w:val="00294587"/>
    <w:rsid w:val="00294669"/>
    <w:rsid w:val="00294775"/>
    <w:rsid w:val="00294A78"/>
    <w:rsid w:val="00294D2E"/>
    <w:rsid w:val="00296431"/>
    <w:rsid w:val="0029698B"/>
    <w:rsid w:val="002A00CD"/>
    <w:rsid w:val="002A0B1B"/>
    <w:rsid w:val="002A19CC"/>
    <w:rsid w:val="002A24D9"/>
    <w:rsid w:val="002A2B33"/>
    <w:rsid w:val="002A3871"/>
    <w:rsid w:val="002A43BC"/>
    <w:rsid w:val="002A461D"/>
    <w:rsid w:val="002A5B3A"/>
    <w:rsid w:val="002A6D8E"/>
    <w:rsid w:val="002A6FB9"/>
    <w:rsid w:val="002A72A8"/>
    <w:rsid w:val="002A73A4"/>
    <w:rsid w:val="002B04C2"/>
    <w:rsid w:val="002B056C"/>
    <w:rsid w:val="002B0A49"/>
    <w:rsid w:val="002B1296"/>
    <w:rsid w:val="002B155F"/>
    <w:rsid w:val="002B15F5"/>
    <w:rsid w:val="002B23DD"/>
    <w:rsid w:val="002B3921"/>
    <w:rsid w:val="002B3E82"/>
    <w:rsid w:val="002B3F21"/>
    <w:rsid w:val="002B42FB"/>
    <w:rsid w:val="002B4DF0"/>
    <w:rsid w:val="002B5337"/>
    <w:rsid w:val="002B5601"/>
    <w:rsid w:val="002B6EC3"/>
    <w:rsid w:val="002B7282"/>
    <w:rsid w:val="002C299E"/>
    <w:rsid w:val="002C4E60"/>
    <w:rsid w:val="002C5E7C"/>
    <w:rsid w:val="002C6C88"/>
    <w:rsid w:val="002C7043"/>
    <w:rsid w:val="002C71AA"/>
    <w:rsid w:val="002C7FB3"/>
    <w:rsid w:val="002D0345"/>
    <w:rsid w:val="002D08AE"/>
    <w:rsid w:val="002D2B9E"/>
    <w:rsid w:val="002D33F9"/>
    <w:rsid w:val="002D38F8"/>
    <w:rsid w:val="002D409E"/>
    <w:rsid w:val="002D413E"/>
    <w:rsid w:val="002D4775"/>
    <w:rsid w:val="002D4EFE"/>
    <w:rsid w:val="002D564A"/>
    <w:rsid w:val="002D6961"/>
    <w:rsid w:val="002E00B7"/>
    <w:rsid w:val="002E04B6"/>
    <w:rsid w:val="002E1703"/>
    <w:rsid w:val="002E18CD"/>
    <w:rsid w:val="002E1F5D"/>
    <w:rsid w:val="002E24D4"/>
    <w:rsid w:val="002E2C98"/>
    <w:rsid w:val="002E2DA9"/>
    <w:rsid w:val="002E3BF5"/>
    <w:rsid w:val="002E4441"/>
    <w:rsid w:val="002E5CAB"/>
    <w:rsid w:val="002E5DB3"/>
    <w:rsid w:val="002E5E28"/>
    <w:rsid w:val="002E7F25"/>
    <w:rsid w:val="002F0165"/>
    <w:rsid w:val="002F091B"/>
    <w:rsid w:val="002F3A4B"/>
    <w:rsid w:val="002F4201"/>
    <w:rsid w:val="002F4987"/>
    <w:rsid w:val="002F5EE6"/>
    <w:rsid w:val="002F6B99"/>
    <w:rsid w:val="002F755A"/>
    <w:rsid w:val="002F7970"/>
    <w:rsid w:val="002F79DA"/>
    <w:rsid w:val="002F7C6A"/>
    <w:rsid w:val="00300BA0"/>
    <w:rsid w:val="00300DAC"/>
    <w:rsid w:val="00301813"/>
    <w:rsid w:val="00302AFD"/>
    <w:rsid w:val="00302E57"/>
    <w:rsid w:val="003030D5"/>
    <w:rsid w:val="003037B4"/>
    <w:rsid w:val="00303D57"/>
    <w:rsid w:val="00303F9C"/>
    <w:rsid w:val="00304025"/>
    <w:rsid w:val="00304124"/>
    <w:rsid w:val="00305500"/>
    <w:rsid w:val="003058BA"/>
    <w:rsid w:val="003065BD"/>
    <w:rsid w:val="00306EC3"/>
    <w:rsid w:val="00307531"/>
    <w:rsid w:val="0031256E"/>
    <w:rsid w:val="00312ADD"/>
    <w:rsid w:val="00313063"/>
    <w:rsid w:val="003142C7"/>
    <w:rsid w:val="0031438D"/>
    <w:rsid w:val="00315376"/>
    <w:rsid w:val="003159AC"/>
    <w:rsid w:val="00315F16"/>
    <w:rsid w:val="00320200"/>
    <w:rsid w:val="003211AE"/>
    <w:rsid w:val="003212DE"/>
    <w:rsid w:val="003218DE"/>
    <w:rsid w:val="0032251D"/>
    <w:rsid w:val="00322620"/>
    <w:rsid w:val="00322867"/>
    <w:rsid w:val="00322B3B"/>
    <w:rsid w:val="00324725"/>
    <w:rsid w:val="00325846"/>
    <w:rsid w:val="00325DA3"/>
    <w:rsid w:val="003263AE"/>
    <w:rsid w:val="003266ED"/>
    <w:rsid w:val="0032679F"/>
    <w:rsid w:val="00327657"/>
    <w:rsid w:val="00330FA2"/>
    <w:rsid w:val="00332344"/>
    <w:rsid w:val="00333023"/>
    <w:rsid w:val="003330FB"/>
    <w:rsid w:val="00334799"/>
    <w:rsid w:val="003348E0"/>
    <w:rsid w:val="0033653D"/>
    <w:rsid w:val="00336742"/>
    <w:rsid w:val="003376A8"/>
    <w:rsid w:val="00337B9A"/>
    <w:rsid w:val="00337F9D"/>
    <w:rsid w:val="00342472"/>
    <w:rsid w:val="0034308E"/>
    <w:rsid w:val="003433F8"/>
    <w:rsid w:val="00343551"/>
    <w:rsid w:val="00343A3D"/>
    <w:rsid w:val="00343A5A"/>
    <w:rsid w:val="00343EBE"/>
    <w:rsid w:val="00345516"/>
    <w:rsid w:val="00345F0E"/>
    <w:rsid w:val="00346C8B"/>
    <w:rsid w:val="0035033A"/>
    <w:rsid w:val="00350435"/>
    <w:rsid w:val="00350EE5"/>
    <w:rsid w:val="0035111C"/>
    <w:rsid w:val="00351FBA"/>
    <w:rsid w:val="00352328"/>
    <w:rsid w:val="00353714"/>
    <w:rsid w:val="00354481"/>
    <w:rsid w:val="00354EA5"/>
    <w:rsid w:val="003550B9"/>
    <w:rsid w:val="00355AE4"/>
    <w:rsid w:val="00356027"/>
    <w:rsid w:val="00356D32"/>
    <w:rsid w:val="00357A77"/>
    <w:rsid w:val="00357C98"/>
    <w:rsid w:val="00357F37"/>
    <w:rsid w:val="00360B13"/>
    <w:rsid w:val="00361795"/>
    <w:rsid w:val="00362A98"/>
    <w:rsid w:val="00362D90"/>
    <w:rsid w:val="00363E39"/>
    <w:rsid w:val="0036454F"/>
    <w:rsid w:val="00364E82"/>
    <w:rsid w:val="003650D8"/>
    <w:rsid w:val="00365767"/>
    <w:rsid w:val="0036579D"/>
    <w:rsid w:val="00365C7C"/>
    <w:rsid w:val="00365E7E"/>
    <w:rsid w:val="00365EA3"/>
    <w:rsid w:val="00365EB3"/>
    <w:rsid w:val="003662AC"/>
    <w:rsid w:val="00366529"/>
    <w:rsid w:val="00366710"/>
    <w:rsid w:val="003668D7"/>
    <w:rsid w:val="003668D8"/>
    <w:rsid w:val="00366B45"/>
    <w:rsid w:val="00367124"/>
    <w:rsid w:val="00367A7B"/>
    <w:rsid w:val="00370666"/>
    <w:rsid w:val="00371238"/>
    <w:rsid w:val="00371DB2"/>
    <w:rsid w:val="00371DB4"/>
    <w:rsid w:val="00371F41"/>
    <w:rsid w:val="00372F45"/>
    <w:rsid w:val="00374165"/>
    <w:rsid w:val="00374821"/>
    <w:rsid w:val="00375690"/>
    <w:rsid w:val="0037594B"/>
    <w:rsid w:val="0037671F"/>
    <w:rsid w:val="003770C7"/>
    <w:rsid w:val="00377121"/>
    <w:rsid w:val="003773E8"/>
    <w:rsid w:val="00377618"/>
    <w:rsid w:val="00377AE1"/>
    <w:rsid w:val="00380156"/>
    <w:rsid w:val="00380925"/>
    <w:rsid w:val="00381595"/>
    <w:rsid w:val="00382DC2"/>
    <w:rsid w:val="00382E74"/>
    <w:rsid w:val="00383187"/>
    <w:rsid w:val="0038449D"/>
    <w:rsid w:val="00384B7D"/>
    <w:rsid w:val="00384DD4"/>
    <w:rsid w:val="0038659C"/>
    <w:rsid w:val="003867B2"/>
    <w:rsid w:val="00386803"/>
    <w:rsid w:val="00386D6C"/>
    <w:rsid w:val="00387644"/>
    <w:rsid w:val="00387E8F"/>
    <w:rsid w:val="00390B71"/>
    <w:rsid w:val="003915DC"/>
    <w:rsid w:val="00392505"/>
    <w:rsid w:val="00392539"/>
    <w:rsid w:val="003928C8"/>
    <w:rsid w:val="00393102"/>
    <w:rsid w:val="003936ED"/>
    <w:rsid w:val="003943A2"/>
    <w:rsid w:val="0039489F"/>
    <w:rsid w:val="00395C31"/>
    <w:rsid w:val="00396214"/>
    <w:rsid w:val="00396F0C"/>
    <w:rsid w:val="00397023"/>
    <w:rsid w:val="003A1347"/>
    <w:rsid w:val="003A297C"/>
    <w:rsid w:val="003A3D6E"/>
    <w:rsid w:val="003A4323"/>
    <w:rsid w:val="003B0D55"/>
    <w:rsid w:val="003B2037"/>
    <w:rsid w:val="003B247F"/>
    <w:rsid w:val="003B283E"/>
    <w:rsid w:val="003B28A3"/>
    <w:rsid w:val="003B3645"/>
    <w:rsid w:val="003B490D"/>
    <w:rsid w:val="003B5980"/>
    <w:rsid w:val="003B69CD"/>
    <w:rsid w:val="003C0481"/>
    <w:rsid w:val="003C09C4"/>
    <w:rsid w:val="003C0DCC"/>
    <w:rsid w:val="003C20C0"/>
    <w:rsid w:val="003C33BF"/>
    <w:rsid w:val="003C421D"/>
    <w:rsid w:val="003C443D"/>
    <w:rsid w:val="003C5588"/>
    <w:rsid w:val="003C5931"/>
    <w:rsid w:val="003C7395"/>
    <w:rsid w:val="003D00DC"/>
    <w:rsid w:val="003D02CB"/>
    <w:rsid w:val="003D1AAA"/>
    <w:rsid w:val="003D2194"/>
    <w:rsid w:val="003D223A"/>
    <w:rsid w:val="003D2F80"/>
    <w:rsid w:val="003D56F4"/>
    <w:rsid w:val="003D5BE8"/>
    <w:rsid w:val="003D61B7"/>
    <w:rsid w:val="003D71E5"/>
    <w:rsid w:val="003D7F87"/>
    <w:rsid w:val="003E029B"/>
    <w:rsid w:val="003E09F5"/>
    <w:rsid w:val="003E1482"/>
    <w:rsid w:val="003E1632"/>
    <w:rsid w:val="003E1FFE"/>
    <w:rsid w:val="003E2603"/>
    <w:rsid w:val="003E27A9"/>
    <w:rsid w:val="003E3159"/>
    <w:rsid w:val="003E42E6"/>
    <w:rsid w:val="003E4B0F"/>
    <w:rsid w:val="003E6D59"/>
    <w:rsid w:val="003E6EB3"/>
    <w:rsid w:val="003F0F05"/>
    <w:rsid w:val="003F1556"/>
    <w:rsid w:val="003F200E"/>
    <w:rsid w:val="003F2CA2"/>
    <w:rsid w:val="003F2F92"/>
    <w:rsid w:val="003F39CD"/>
    <w:rsid w:val="003F3D51"/>
    <w:rsid w:val="003F55E5"/>
    <w:rsid w:val="003F596F"/>
    <w:rsid w:val="003F70BE"/>
    <w:rsid w:val="00400D0C"/>
    <w:rsid w:val="0040217A"/>
    <w:rsid w:val="004022BE"/>
    <w:rsid w:val="004025BD"/>
    <w:rsid w:val="00403B9A"/>
    <w:rsid w:val="00403CF1"/>
    <w:rsid w:val="0040463D"/>
    <w:rsid w:val="004047FA"/>
    <w:rsid w:val="0040547D"/>
    <w:rsid w:val="004057B2"/>
    <w:rsid w:val="004060E0"/>
    <w:rsid w:val="00406FAE"/>
    <w:rsid w:val="004076DA"/>
    <w:rsid w:val="00407A71"/>
    <w:rsid w:val="004107D3"/>
    <w:rsid w:val="00411BA6"/>
    <w:rsid w:val="004125F7"/>
    <w:rsid w:val="00412C55"/>
    <w:rsid w:val="00413056"/>
    <w:rsid w:val="0041413F"/>
    <w:rsid w:val="00414C36"/>
    <w:rsid w:val="0041539D"/>
    <w:rsid w:val="004165F6"/>
    <w:rsid w:val="00416C01"/>
    <w:rsid w:val="0041724E"/>
    <w:rsid w:val="00420936"/>
    <w:rsid w:val="00420D98"/>
    <w:rsid w:val="00420FAF"/>
    <w:rsid w:val="00421245"/>
    <w:rsid w:val="00421E5E"/>
    <w:rsid w:val="00422748"/>
    <w:rsid w:val="004227DE"/>
    <w:rsid w:val="00422A61"/>
    <w:rsid w:val="00422B25"/>
    <w:rsid w:val="00422E94"/>
    <w:rsid w:val="00424CA9"/>
    <w:rsid w:val="004262E2"/>
    <w:rsid w:val="00426329"/>
    <w:rsid w:val="004269A0"/>
    <w:rsid w:val="004270FF"/>
    <w:rsid w:val="004305E5"/>
    <w:rsid w:val="00430BC3"/>
    <w:rsid w:val="00430CCE"/>
    <w:rsid w:val="004312A6"/>
    <w:rsid w:val="00432590"/>
    <w:rsid w:val="00433ED8"/>
    <w:rsid w:val="00434769"/>
    <w:rsid w:val="0043518A"/>
    <w:rsid w:val="00435BAC"/>
    <w:rsid w:val="00436387"/>
    <w:rsid w:val="00436593"/>
    <w:rsid w:val="004373D3"/>
    <w:rsid w:val="00437945"/>
    <w:rsid w:val="004379C0"/>
    <w:rsid w:val="00440739"/>
    <w:rsid w:val="004408D8"/>
    <w:rsid w:val="00440A0B"/>
    <w:rsid w:val="00441239"/>
    <w:rsid w:val="0044289A"/>
    <w:rsid w:val="00442EA3"/>
    <w:rsid w:val="0044339B"/>
    <w:rsid w:val="00447198"/>
    <w:rsid w:val="00447575"/>
    <w:rsid w:val="0045008B"/>
    <w:rsid w:val="00450F57"/>
    <w:rsid w:val="004516AF"/>
    <w:rsid w:val="00453C49"/>
    <w:rsid w:val="00457C8E"/>
    <w:rsid w:val="00457F1F"/>
    <w:rsid w:val="004608F7"/>
    <w:rsid w:val="004611CD"/>
    <w:rsid w:val="00461968"/>
    <w:rsid w:val="00462DA4"/>
    <w:rsid w:val="00463239"/>
    <w:rsid w:val="0046368A"/>
    <w:rsid w:val="004642E1"/>
    <w:rsid w:val="0046471B"/>
    <w:rsid w:val="00464C24"/>
    <w:rsid w:val="00465241"/>
    <w:rsid w:val="00466BFB"/>
    <w:rsid w:val="00471950"/>
    <w:rsid w:val="00472243"/>
    <w:rsid w:val="004723EB"/>
    <w:rsid w:val="0047370A"/>
    <w:rsid w:val="00473FC6"/>
    <w:rsid w:val="0047443C"/>
    <w:rsid w:val="00475288"/>
    <w:rsid w:val="00475B9B"/>
    <w:rsid w:val="00475EB5"/>
    <w:rsid w:val="00475F1B"/>
    <w:rsid w:val="00476711"/>
    <w:rsid w:val="0048142E"/>
    <w:rsid w:val="0048155D"/>
    <w:rsid w:val="0048305B"/>
    <w:rsid w:val="004830A3"/>
    <w:rsid w:val="004832B4"/>
    <w:rsid w:val="00484CDC"/>
    <w:rsid w:val="004856E0"/>
    <w:rsid w:val="00486F43"/>
    <w:rsid w:val="00487A9D"/>
    <w:rsid w:val="00487B3B"/>
    <w:rsid w:val="004900AF"/>
    <w:rsid w:val="0049112D"/>
    <w:rsid w:val="00492036"/>
    <w:rsid w:val="004922FC"/>
    <w:rsid w:val="0049231E"/>
    <w:rsid w:val="00492C67"/>
    <w:rsid w:val="0049530A"/>
    <w:rsid w:val="004954A5"/>
    <w:rsid w:val="004954BB"/>
    <w:rsid w:val="0049590E"/>
    <w:rsid w:val="00495A00"/>
    <w:rsid w:val="00496100"/>
    <w:rsid w:val="00497BFE"/>
    <w:rsid w:val="004A0914"/>
    <w:rsid w:val="004A0A97"/>
    <w:rsid w:val="004A1249"/>
    <w:rsid w:val="004A13EB"/>
    <w:rsid w:val="004A1D82"/>
    <w:rsid w:val="004A1EF6"/>
    <w:rsid w:val="004A278A"/>
    <w:rsid w:val="004A32D6"/>
    <w:rsid w:val="004A4884"/>
    <w:rsid w:val="004A4D20"/>
    <w:rsid w:val="004A4E16"/>
    <w:rsid w:val="004A4F60"/>
    <w:rsid w:val="004A4F98"/>
    <w:rsid w:val="004A5732"/>
    <w:rsid w:val="004A5B25"/>
    <w:rsid w:val="004A7C3D"/>
    <w:rsid w:val="004B0AD7"/>
    <w:rsid w:val="004B16D3"/>
    <w:rsid w:val="004B1BFB"/>
    <w:rsid w:val="004B1C81"/>
    <w:rsid w:val="004B212A"/>
    <w:rsid w:val="004B321B"/>
    <w:rsid w:val="004B42B7"/>
    <w:rsid w:val="004B6DDF"/>
    <w:rsid w:val="004B774F"/>
    <w:rsid w:val="004B7DF5"/>
    <w:rsid w:val="004C0876"/>
    <w:rsid w:val="004C258E"/>
    <w:rsid w:val="004C4BBF"/>
    <w:rsid w:val="004C4C43"/>
    <w:rsid w:val="004C57A5"/>
    <w:rsid w:val="004D2824"/>
    <w:rsid w:val="004D2829"/>
    <w:rsid w:val="004D32D1"/>
    <w:rsid w:val="004D3417"/>
    <w:rsid w:val="004D3A1C"/>
    <w:rsid w:val="004D3F63"/>
    <w:rsid w:val="004D4332"/>
    <w:rsid w:val="004D4648"/>
    <w:rsid w:val="004D5A39"/>
    <w:rsid w:val="004D609D"/>
    <w:rsid w:val="004D60F2"/>
    <w:rsid w:val="004D6A15"/>
    <w:rsid w:val="004D7404"/>
    <w:rsid w:val="004D7622"/>
    <w:rsid w:val="004E0509"/>
    <w:rsid w:val="004E3710"/>
    <w:rsid w:val="004E43B4"/>
    <w:rsid w:val="004E4F40"/>
    <w:rsid w:val="004E4FA4"/>
    <w:rsid w:val="004E5744"/>
    <w:rsid w:val="004E5B19"/>
    <w:rsid w:val="004E5B8B"/>
    <w:rsid w:val="004E6579"/>
    <w:rsid w:val="004E667D"/>
    <w:rsid w:val="004E7770"/>
    <w:rsid w:val="004F0306"/>
    <w:rsid w:val="004F0402"/>
    <w:rsid w:val="004F1400"/>
    <w:rsid w:val="004F17F1"/>
    <w:rsid w:val="004F1AD5"/>
    <w:rsid w:val="004F1DE9"/>
    <w:rsid w:val="004F3374"/>
    <w:rsid w:val="004F45AD"/>
    <w:rsid w:val="004F4618"/>
    <w:rsid w:val="004F55F9"/>
    <w:rsid w:val="004F6BFB"/>
    <w:rsid w:val="004F7358"/>
    <w:rsid w:val="0050011E"/>
    <w:rsid w:val="00500704"/>
    <w:rsid w:val="00500A03"/>
    <w:rsid w:val="00500A46"/>
    <w:rsid w:val="00500C3D"/>
    <w:rsid w:val="0050132E"/>
    <w:rsid w:val="005016D5"/>
    <w:rsid w:val="00505206"/>
    <w:rsid w:val="0050788D"/>
    <w:rsid w:val="00510A74"/>
    <w:rsid w:val="005111D3"/>
    <w:rsid w:val="00511884"/>
    <w:rsid w:val="0051209D"/>
    <w:rsid w:val="00512DC8"/>
    <w:rsid w:val="00513616"/>
    <w:rsid w:val="00513C0F"/>
    <w:rsid w:val="00513E89"/>
    <w:rsid w:val="005149A7"/>
    <w:rsid w:val="005163E0"/>
    <w:rsid w:val="005174F0"/>
    <w:rsid w:val="00517A69"/>
    <w:rsid w:val="00517CAD"/>
    <w:rsid w:val="00520303"/>
    <w:rsid w:val="0052144E"/>
    <w:rsid w:val="00521D6F"/>
    <w:rsid w:val="00521F26"/>
    <w:rsid w:val="00522B27"/>
    <w:rsid w:val="00522D3C"/>
    <w:rsid w:val="00522E35"/>
    <w:rsid w:val="00523078"/>
    <w:rsid w:val="00523CF1"/>
    <w:rsid w:val="00525DDD"/>
    <w:rsid w:val="00526436"/>
    <w:rsid w:val="005264F1"/>
    <w:rsid w:val="00526A49"/>
    <w:rsid w:val="00526B70"/>
    <w:rsid w:val="0052707D"/>
    <w:rsid w:val="00527309"/>
    <w:rsid w:val="00527B09"/>
    <w:rsid w:val="00531776"/>
    <w:rsid w:val="00532F42"/>
    <w:rsid w:val="00533339"/>
    <w:rsid w:val="005349D7"/>
    <w:rsid w:val="00534F94"/>
    <w:rsid w:val="00535DC1"/>
    <w:rsid w:val="00535FFB"/>
    <w:rsid w:val="00536CF5"/>
    <w:rsid w:val="00536FCE"/>
    <w:rsid w:val="00537513"/>
    <w:rsid w:val="00537E9F"/>
    <w:rsid w:val="00537F83"/>
    <w:rsid w:val="005403F1"/>
    <w:rsid w:val="005411AB"/>
    <w:rsid w:val="00541B1C"/>
    <w:rsid w:val="00541FAB"/>
    <w:rsid w:val="0054326E"/>
    <w:rsid w:val="00544848"/>
    <w:rsid w:val="0054660B"/>
    <w:rsid w:val="00546F2C"/>
    <w:rsid w:val="00551522"/>
    <w:rsid w:val="00553E88"/>
    <w:rsid w:val="005552F8"/>
    <w:rsid w:val="00555446"/>
    <w:rsid w:val="00555613"/>
    <w:rsid w:val="005561EA"/>
    <w:rsid w:val="00556FB8"/>
    <w:rsid w:val="00557305"/>
    <w:rsid w:val="00557CF7"/>
    <w:rsid w:val="00557F90"/>
    <w:rsid w:val="005601DB"/>
    <w:rsid w:val="00560A10"/>
    <w:rsid w:val="00561B0A"/>
    <w:rsid w:val="00561DCF"/>
    <w:rsid w:val="005620E5"/>
    <w:rsid w:val="0056251E"/>
    <w:rsid w:val="00563990"/>
    <w:rsid w:val="00564637"/>
    <w:rsid w:val="00564C11"/>
    <w:rsid w:val="00567AEA"/>
    <w:rsid w:val="00567F3A"/>
    <w:rsid w:val="0057055B"/>
    <w:rsid w:val="00571380"/>
    <w:rsid w:val="005715CA"/>
    <w:rsid w:val="00572478"/>
    <w:rsid w:val="005738C4"/>
    <w:rsid w:val="00574C3C"/>
    <w:rsid w:val="00574FDD"/>
    <w:rsid w:val="005755EC"/>
    <w:rsid w:val="00576CAA"/>
    <w:rsid w:val="0057701F"/>
    <w:rsid w:val="00577465"/>
    <w:rsid w:val="0057748B"/>
    <w:rsid w:val="00581606"/>
    <w:rsid w:val="00581985"/>
    <w:rsid w:val="00581ABA"/>
    <w:rsid w:val="00581CBB"/>
    <w:rsid w:val="00582391"/>
    <w:rsid w:val="0058340A"/>
    <w:rsid w:val="005842FD"/>
    <w:rsid w:val="00584B0E"/>
    <w:rsid w:val="00584FB0"/>
    <w:rsid w:val="00585048"/>
    <w:rsid w:val="0058592B"/>
    <w:rsid w:val="0058686D"/>
    <w:rsid w:val="005872C8"/>
    <w:rsid w:val="00587E8F"/>
    <w:rsid w:val="005900DE"/>
    <w:rsid w:val="00590B0B"/>
    <w:rsid w:val="00590E03"/>
    <w:rsid w:val="00590E2C"/>
    <w:rsid w:val="00591BD1"/>
    <w:rsid w:val="005949A6"/>
    <w:rsid w:val="00595FA9"/>
    <w:rsid w:val="00596B3E"/>
    <w:rsid w:val="005A1198"/>
    <w:rsid w:val="005A1763"/>
    <w:rsid w:val="005A261F"/>
    <w:rsid w:val="005A4866"/>
    <w:rsid w:val="005A510E"/>
    <w:rsid w:val="005A5392"/>
    <w:rsid w:val="005A5EF6"/>
    <w:rsid w:val="005B0042"/>
    <w:rsid w:val="005B22FE"/>
    <w:rsid w:val="005B3451"/>
    <w:rsid w:val="005B3C2C"/>
    <w:rsid w:val="005B4B9C"/>
    <w:rsid w:val="005B4D92"/>
    <w:rsid w:val="005B5FD2"/>
    <w:rsid w:val="005B6766"/>
    <w:rsid w:val="005B698D"/>
    <w:rsid w:val="005C1001"/>
    <w:rsid w:val="005C183A"/>
    <w:rsid w:val="005C1B11"/>
    <w:rsid w:val="005C26F4"/>
    <w:rsid w:val="005C2A9D"/>
    <w:rsid w:val="005C2B98"/>
    <w:rsid w:val="005C5270"/>
    <w:rsid w:val="005C5B0E"/>
    <w:rsid w:val="005C5C92"/>
    <w:rsid w:val="005C5D0D"/>
    <w:rsid w:val="005C7621"/>
    <w:rsid w:val="005D0C18"/>
    <w:rsid w:val="005D2E33"/>
    <w:rsid w:val="005D4594"/>
    <w:rsid w:val="005D47D2"/>
    <w:rsid w:val="005D5134"/>
    <w:rsid w:val="005D5AAA"/>
    <w:rsid w:val="005D5F56"/>
    <w:rsid w:val="005D62C9"/>
    <w:rsid w:val="005E0268"/>
    <w:rsid w:val="005E1077"/>
    <w:rsid w:val="005E288D"/>
    <w:rsid w:val="005E2B9B"/>
    <w:rsid w:val="005E30D2"/>
    <w:rsid w:val="005E38BD"/>
    <w:rsid w:val="005E3F4D"/>
    <w:rsid w:val="005E4362"/>
    <w:rsid w:val="005E5A30"/>
    <w:rsid w:val="005E5B78"/>
    <w:rsid w:val="005E6516"/>
    <w:rsid w:val="005E75DF"/>
    <w:rsid w:val="005E767B"/>
    <w:rsid w:val="005E76E7"/>
    <w:rsid w:val="005E7AC1"/>
    <w:rsid w:val="005E7DE8"/>
    <w:rsid w:val="005F10A5"/>
    <w:rsid w:val="005F14ED"/>
    <w:rsid w:val="005F1ED1"/>
    <w:rsid w:val="005F2223"/>
    <w:rsid w:val="005F25B1"/>
    <w:rsid w:val="005F3E01"/>
    <w:rsid w:val="005F52AB"/>
    <w:rsid w:val="005F534D"/>
    <w:rsid w:val="005F54D2"/>
    <w:rsid w:val="005F6468"/>
    <w:rsid w:val="005F6650"/>
    <w:rsid w:val="005F665D"/>
    <w:rsid w:val="005F6EAB"/>
    <w:rsid w:val="005F7305"/>
    <w:rsid w:val="00600AE3"/>
    <w:rsid w:val="00601228"/>
    <w:rsid w:val="00602B34"/>
    <w:rsid w:val="00604E52"/>
    <w:rsid w:val="00606415"/>
    <w:rsid w:val="0060655C"/>
    <w:rsid w:val="00606BD3"/>
    <w:rsid w:val="00607235"/>
    <w:rsid w:val="0060761B"/>
    <w:rsid w:val="006104A7"/>
    <w:rsid w:val="00610F97"/>
    <w:rsid w:val="006115E1"/>
    <w:rsid w:val="0061181E"/>
    <w:rsid w:val="00611C10"/>
    <w:rsid w:val="00611F99"/>
    <w:rsid w:val="00612E41"/>
    <w:rsid w:val="00614DC8"/>
    <w:rsid w:val="00614E78"/>
    <w:rsid w:val="00616721"/>
    <w:rsid w:val="00617A5C"/>
    <w:rsid w:val="0062073F"/>
    <w:rsid w:val="00621F7C"/>
    <w:rsid w:val="00622230"/>
    <w:rsid w:val="006230BD"/>
    <w:rsid w:val="00623E68"/>
    <w:rsid w:val="006252FB"/>
    <w:rsid w:val="006253D4"/>
    <w:rsid w:val="006262BD"/>
    <w:rsid w:val="00626D50"/>
    <w:rsid w:val="00630DB0"/>
    <w:rsid w:val="00630FC1"/>
    <w:rsid w:val="006332C9"/>
    <w:rsid w:val="00633BD3"/>
    <w:rsid w:val="00634E99"/>
    <w:rsid w:val="0063580F"/>
    <w:rsid w:val="00635926"/>
    <w:rsid w:val="00635EC2"/>
    <w:rsid w:val="006371EF"/>
    <w:rsid w:val="00637DAB"/>
    <w:rsid w:val="00640384"/>
    <w:rsid w:val="006418E8"/>
    <w:rsid w:val="0064223A"/>
    <w:rsid w:val="006424E0"/>
    <w:rsid w:val="00642E27"/>
    <w:rsid w:val="00643C16"/>
    <w:rsid w:val="006445AB"/>
    <w:rsid w:val="00644EF5"/>
    <w:rsid w:val="00645492"/>
    <w:rsid w:val="00645B03"/>
    <w:rsid w:val="00645CDD"/>
    <w:rsid w:val="00646100"/>
    <w:rsid w:val="0064713D"/>
    <w:rsid w:val="0065004E"/>
    <w:rsid w:val="00650ADE"/>
    <w:rsid w:val="00650CCC"/>
    <w:rsid w:val="006526D5"/>
    <w:rsid w:val="00653EB7"/>
    <w:rsid w:val="00654799"/>
    <w:rsid w:val="006560E9"/>
    <w:rsid w:val="00656181"/>
    <w:rsid w:val="00657763"/>
    <w:rsid w:val="00657A38"/>
    <w:rsid w:val="00661456"/>
    <w:rsid w:val="00662A8E"/>
    <w:rsid w:val="00662C7F"/>
    <w:rsid w:val="00663869"/>
    <w:rsid w:val="006639FF"/>
    <w:rsid w:val="006640DC"/>
    <w:rsid w:val="00664D35"/>
    <w:rsid w:val="00665183"/>
    <w:rsid w:val="00666FFD"/>
    <w:rsid w:val="0066763E"/>
    <w:rsid w:val="00670727"/>
    <w:rsid w:val="00672BC2"/>
    <w:rsid w:val="00673CFA"/>
    <w:rsid w:val="0067530B"/>
    <w:rsid w:val="00675612"/>
    <w:rsid w:val="006758E0"/>
    <w:rsid w:val="00675B28"/>
    <w:rsid w:val="00676EB1"/>
    <w:rsid w:val="00677F7E"/>
    <w:rsid w:val="00681F00"/>
    <w:rsid w:val="00682E47"/>
    <w:rsid w:val="006839B9"/>
    <w:rsid w:val="0068441A"/>
    <w:rsid w:val="00684F62"/>
    <w:rsid w:val="00686A53"/>
    <w:rsid w:val="006873BE"/>
    <w:rsid w:val="00687470"/>
    <w:rsid w:val="0069142D"/>
    <w:rsid w:val="006917DD"/>
    <w:rsid w:val="00692C3B"/>
    <w:rsid w:val="00693CB6"/>
    <w:rsid w:val="00694085"/>
    <w:rsid w:val="006942EE"/>
    <w:rsid w:val="006954F6"/>
    <w:rsid w:val="0069562B"/>
    <w:rsid w:val="006957F5"/>
    <w:rsid w:val="00695DDE"/>
    <w:rsid w:val="00696329"/>
    <w:rsid w:val="006A00C2"/>
    <w:rsid w:val="006A05A5"/>
    <w:rsid w:val="006A4CF3"/>
    <w:rsid w:val="006A6352"/>
    <w:rsid w:val="006A6726"/>
    <w:rsid w:val="006A73F0"/>
    <w:rsid w:val="006B090B"/>
    <w:rsid w:val="006B0916"/>
    <w:rsid w:val="006B0AEA"/>
    <w:rsid w:val="006B1746"/>
    <w:rsid w:val="006B37D7"/>
    <w:rsid w:val="006B468C"/>
    <w:rsid w:val="006B576B"/>
    <w:rsid w:val="006B5850"/>
    <w:rsid w:val="006B596E"/>
    <w:rsid w:val="006B5B71"/>
    <w:rsid w:val="006B653A"/>
    <w:rsid w:val="006B7703"/>
    <w:rsid w:val="006C1134"/>
    <w:rsid w:val="006C1470"/>
    <w:rsid w:val="006C1C19"/>
    <w:rsid w:val="006C28F7"/>
    <w:rsid w:val="006C3E9C"/>
    <w:rsid w:val="006C48D9"/>
    <w:rsid w:val="006C606F"/>
    <w:rsid w:val="006C7F27"/>
    <w:rsid w:val="006D25AC"/>
    <w:rsid w:val="006D2B49"/>
    <w:rsid w:val="006D2B7A"/>
    <w:rsid w:val="006D30AB"/>
    <w:rsid w:val="006D3726"/>
    <w:rsid w:val="006D41F0"/>
    <w:rsid w:val="006D4F2C"/>
    <w:rsid w:val="006D6600"/>
    <w:rsid w:val="006D7B57"/>
    <w:rsid w:val="006E0104"/>
    <w:rsid w:val="006E052C"/>
    <w:rsid w:val="006E1AD3"/>
    <w:rsid w:val="006E33FC"/>
    <w:rsid w:val="006E35F2"/>
    <w:rsid w:val="006E4B0E"/>
    <w:rsid w:val="006E596A"/>
    <w:rsid w:val="006E7EC7"/>
    <w:rsid w:val="006F0B05"/>
    <w:rsid w:val="006F2A59"/>
    <w:rsid w:val="006F2C45"/>
    <w:rsid w:val="006F37D1"/>
    <w:rsid w:val="006F3DF4"/>
    <w:rsid w:val="006F4297"/>
    <w:rsid w:val="006F4983"/>
    <w:rsid w:val="006F538C"/>
    <w:rsid w:val="006F591E"/>
    <w:rsid w:val="006F5DAF"/>
    <w:rsid w:val="00701A09"/>
    <w:rsid w:val="007023CF"/>
    <w:rsid w:val="00702436"/>
    <w:rsid w:val="00702A83"/>
    <w:rsid w:val="00702B2B"/>
    <w:rsid w:val="00704337"/>
    <w:rsid w:val="00704E4D"/>
    <w:rsid w:val="00705CEF"/>
    <w:rsid w:val="00706CD9"/>
    <w:rsid w:val="0070767C"/>
    <w:rsid w:val="007100D3"/>
    <w:rsid w:val="00710559"/>
    <w:rsid w:val="0071079A"/>
    <w:rsid w:val="00710C35"/>
    <w:rsid w:val="007118CE"/>
    <w:rsid w:val="0071322E"/>
    <w:rsid w:val="007136F6"/>
    <w:rsid w:val="007146BD"/>
    <w:rsid w:val="00714CD8"/>
    <w:rsid w:val="00715627"/>
    <w:rsid w:val="00715AB0"/>
    <w:rsid w:val="00715B1A"/>
    <w:rsid w:val="00715B23"/>
    <w:rsid w:val="00715D3C"/>
    <w:rsid w:val="00716CE1"/>
    <w:rsid w:val="00716E82"/>
    <w:rsid w:val="007202FC"/>
    <w:rsid w:val="00721AB0"/>
    <w:rsid w:val="00723767"/>
    <w:rsid w:val="00723E7E"/>
    <w:rsid w:val="007261BB"/>
    <w:rsid w:val="007269D4"/>
    <w:rsid w:val="00726DFD"/>
    <w:rsid w:val="007273D4"/>
    <w:rsid w:val="0073150A"/>
    <w:rsid w:val="00732463"/>
    <w:rsid w:val="0073418B"/>
    <w:rsid w:val="00734F18"/>
    <w:rsid w:val="007351BA"/>
    <w:rsid w:val="00735508"/>
    <w:rsid w:val="007368FD"/>
    <w:rsid w:val="0073723F"/>
    <w:rsid w:val="0073753E"/>
    <w:rsid w:val="00737828"/>
    <w:rsid w:val="0073782F"/>
    <w:rsid w:val="00741864"/>
    <w:rsid w:val="007418D5"/>
    <w:rsid w:val="00741DD7"/>
    <w:rsid w:val="00741F0E"/>
    <w:rsid w:val="00742417"/>
    <w:rsid w:val="00742643"/>
    <w:rsid w:val="007459DF"/>
    <w:rsid w:val="00745A5B"/>
    <w:rsid w:val="00745E1A"/>
    <w:rsid w:val="00746527"/>
    <w:rsid w:val="007474F3"/>
    <w:rsid w:val="00747B21"/>
    <w:rsid w:val="00747F1A"/>
    <w:rsid w:val="0075175D"/>
    <w:rsid w:val="00752656"/>
    <w:rsid w:val="00752809"/>
    <w:rsid w:val="00753E15"/>
    <w:rsid w:val="0075532A"/>
    <w:rsid w:val="00757F67"/>
    <w:rsid w:val="00757F72"/>
    <w:rsid w:val="007606CC"/>
    <w:rsid w:val="00760D72"/>
    <w:rsid w:val="0076111C"/>
    <w:rsid w:val="007613CD"/>
    <w:rsid w:val="00762075"/>
    <w:rsid w:val="00762647"/>
    <w:rsid w:val="00762E5C"/>
    <w:rsid w:val="00764B7F"/>
    <w:rsid w:val="00765B4D"/>
    <w:rsid w:val="00766406"/>
    <w:rsid w:val="00766453"/>
    <w:rsid w:val="00766DE4"/>
    <w:rsid w:val="00766E04"/>
    <w:rsid w:val="00767AAA"/>
    <w:rsid w:val="00767CD4"/>
    <w:rsid w:val="0077094F"/>
    <w:rsid w:val="007709B6"/>
    <w:rsid w:val="00770C6A"/>
    <w:rsid w:val="007725C8"/>
    <w:rsid w:val="00772728"/>
    <w:rsid w:val="00773B9B"/>
    <w:rsid w:val="00773E51"/>
    <w:rsid w:val="00774209"/>
    <w:rsid w:val="00774441"/>
    <w:rsid w:val="00774BAA"/>
    <w:rsid w:val="00775039"/>
    <w:rsid w:val="00775B22"/>
    <w:rsid w:val="00776ADE"/>
    <w:rsid w:val="00776EA2"/>
    <w:rsid w:val="00777511"/>
    <w:rsid w:val="007777BE"/>
    <w:rsid w:val="00780AB9"/>
    <w:rsid w:val="00782C76"/>
    <w:rsid w:val="00782F64"/>
    <w:rsid w:val="00784C71"/>
    <w:rsid w:val="00786B10"/>
    <w:rsid w:val="0079098F"/>
    <w:rsid w:val="00790D34"/>
    <w:rsid w:val="007911CC"/>
    <w:rsid w:val="00791578"/>
    <w:rsid w:val="007926D6"/>
    <w:rsid w:val="0079282C"/>
    <w:rsid w:val="007929EF"/>
    <w:rsid w:val="0079471D"/>
    <w:rsid w:val="00794851"/>
    <w:rsid w:val="00795346"/>
    <w:rsid w:val="0079623B"/>
    <w:rsid w:val="00797262"/>
    <w:rsid w:val="00797C5A"/>
    <w:rsid w:val="007A05F1"/>
    <w:rsid w:val="007A0BAE"/>
    <w:rsid w:val="007A2366"/>
    <w:rsid w:val="007A2897"/>
    <w:rsid w:val="007A32C5"/>
    <w:rsid w:val="007A3482"/>
    <w:rsid w:val="007A3F2C"/>
    <w:rsid w:val="007A4E9A"/>
    <w:rsid w:val="007A571A"/>
    <w:rsid w:val="007A5A13"/>
    <w:rsid w:val="007A5B28"/>
    <w:rsid w:val="007A6304"/>
    <w:rsid w:val="007A67F3"/>
    <w:rsid w:val="007A771C"/>
    <w:rsid w:val="007A7F4E"/>
    <w:rsid w:val="007B00E3"/>
    <w:rsid w:val="007B019D"/>
    <w:rsid w:val="007B0A96"/>
    <w:rsid w:val="007B1650"/>
    <w:rsid w:val="007B4338"/>
    <w:rsid w:val="007B43AC"/>
    <w:rsid w:val="007B486D"/>
    <w:rsid w:val="007B50E1"/>
    <w:rsid w:val="007B5116"/>
    <w:rsid w:val="007B558C"/>
    <w:rsid w:val="007B6A16"/>
    <w:rsid w:val="007B7271"/>
    <w:rsid w:val="007B789D"/>
    <w:rsid w:val="007B7A7A"/>
    <w:rsid w:val="007C1393"/>
    <w:rsid w:val="007C4271"/>
    <w:rsid w:val="007C45B2"/>
    <w:rsid w:val="007C5EBB"/>
    <w:rsid w:val="007C61A6"/>
    <w:rsid w:val="007D0533"/>
    <w:rsid w:val="007D054D"/>
    <w:rsid w:val="007D086B"/>
    <w:rsid w:val="007D0EF6"/>
    <w:rsid w:val="007D10D7"/>
    <w:rsid w:val="007D141A"/>
    <w:rsid w:val="007D1BA8"/>
    <w:rsid w:val="007D1EB5"/>
    <w:rsid w:val="007D443F"/>
    <w:rsid w:val="007D4700"/>
    <w:rsid w:val="007D54B8"/>
    <w:rsid w:val="007D6B6D"/>
    <w:rsid w:val="007D7322"/>
    <w:rsid w:val="007D76BF"/>
    <w:rsid w:val="007D7848"/>
    <w:rsid w:val="007E0DE9"/>
    <w:rsid w:val="007E0E24"/>
    <w:rsid w:val="007E0E2B"/>
    <w:rsid w:val="007E1245"/>
    <w:rsid w:val="007E227C"/>
    <w:rsid w:val="007E383F"/>
    <w:rsid w:val="007E48AD"/>
    <w:rsid w:val="007E4C05"/>
    <w:rsid w:val="007E5B7F"/>
    <w:rsid w:val="007E5E16"/>
    <w:rsid w:val="007E66F6"/>
    <w:rsid w:val="007E73E2"/>
    <w:rsid w:val="007E762C"/>
    <w:rsid w:val="007F1194"/>
    <w:rsid w:val="007F26E6"/>
    <w:rsid w:val="007F2729"/>
    <w:rsid w:val="007F536C"/>
    <w:rsid w:val="007F592F"/>
    <w:rsid w:val="007F6EA7"/>
    <w:rsid w:val="007F7C69"/>
    <w:rsid w:val="007F7D5B"/>
    <w:rsid w:val="008005BE"/>
    <w:rsid w:val="008009B2"/>
    <w:rsid w:val="008019DE"/>
    <w:rsid w:val="00803DC4"/>
    <w:rsid w:val="00804572"/>
    <w:rsid w:val="00804A7C"/>
    <w:rsid w:val="00805227"/>
    <w:rsid w:val="00806441"/>
    <w:rsid w:val="008122CB"/>
    <w:rsid w:val="00813498"/>
    <w:rsid w:val="00815569"/>
    <w:rsid w:val="00815B99"/>
    <w:rsid w:val="008163F3"/>
    <w:rsid w:val="00816515"/>
    <w:rsid w:val="008165D0"/>
    <w:rsid w:val="008169AE"/>
    <w:rsid w:val="00816FB5"/>
    <w:rsid w:val="00817E20"/>
    <w:rsid w:val="0082010E"/>
    <w:rsid w:val="008208FF"/>
    <w:rsid w:val="008228AB"/>
    <w:rsid w:val="0082375B"/>
    <w:rsid w:val="00823BA0"/>
    <w:rsid w:val="00823DDD"/>
    <w:rsid w:val="008251F2"/>
    <w:rsid w:val="00826224"/>
    <w:rsid w:val="00827930"/>
    <w:rsid w:val="00827D01"/>
    <w:rsid w:val="008309E1"/>
    <w:rsid w:val="00832142"/>
    <w:rsid w:val="00833A8B"/>
    <w:rsid w:val="00833B3B"/>
    <w:rsid w:val="00834912"/>
    <w:rsid w:val="0083497F"/>
    <w:rsid w:val="00834E0C"/>
    <w:rsid w:val="00834FF1"/>
    <w:rsid w:val="00835EC5"/>
    <w:rsid w:val="00836B79"/>
    <w:rsid w:val="00836FC9"/>
    <w:rsid w:val="008400D1"/>
    <w:rsid w:val="00840206"/>
    <w:rsid w:val="008409DC"/>
    <w:rsid w:val="0084283A"/>
    <w:rsid w:val="00842C58"/>
    <w:rsid w:val="00842ED2"/>
    <w:rsid w:val="00843085"/>
    <w:rsid w:val="0084315C"/>
    <w:rsid w:val="00843EC0"/>
    <w:rsid w:val="00843F1C"/>
    <w:rsid w:val="00846858"/>
    <w:rsid w:val="00846D07"/>
    <w:rsid w:val="00847105"/>
    <w:rsid w:val="00850822"/>
    <w:rsid w:val="0085160A"/>
    <w:rsid w:val="008516AC"/>
    <w:rsid w:val="00851B71"/>
    <w:rsid w:val="008523F5"/>
    <w:rsid w:val="008533D8"/>
    <w:rsid w:val="0085383B"/>
    <w:rsid w:val="00853999"/>
    <w:rsid w:val="00854C35"/>
    <w:rsid w:val="0086050B"/>
    <w:rsid w:val="00860C2D"/>
    <w:rsid w:val="00860DB7"/>
    <w:rsid w:val="0086143D"/>
    <w:rsid w:val="00861F1E"/>
    <w:rsid w:val="00862158"/>
    <w:rsid w:val="00862375"/>
    <w:rsid w:val="008637B6"/>
    <w:rsid w:val="00864389"/>
    <w:rsid w:val="0086521A"/>
    <w:rsid w:val="00865F66"/>
    <w:rsid w:val="00866FA9"/>
    <w:rsid w:val="00867287"/>
    <w:rsid w:val="00870437"/>
    <w:rsid w:val="008721D5"/>
    <w:rsid w:val="00872322"/>
    <w:rsid w:val="00872346"/>
    <w:rsid w:val="00872A03"/>
    <w:rsid w:val="00873DBF"/>
    <w:rsid w:val="00874758"/>
    <w:rsid w:val="00875261"/>
    <w:rsid w:val="00875B96"/>
    <w:rsid w:val="00876546"/>
    <w:rsid w:val="0088036D"/>
    <w:rsid w:val="00880672"/>
    <w:rsid w:val="00880852"/>
    <w:rsid w:val="0088087E"/>
    <w:rsid w:val="00881031"/>
    <w:rsid w:val="008812D3"/>
    <w:rsid w:val="008836B0"/>
    <w:rsid w:val="00883E74"/>
    <w:rsid w:val="00885BF8"/>
    <w:rsid w:val="00885CE3"/>
    <w:rsid w:val="00886766"/>
    <w:rsid w:val="00886A78"/>
    <w:rsid w:val="00886F4B"/>
    <w:rsid w:val="008924A3"/>
    <w:rsid w:val="00895420"/>
    <w:rsid w:val="00895584"/>
    <w:rsid w:val="0089673B"/>
    <w:rsid w:val="008968CA"/>
    <w:rsid w:val="00896F89"/>
    <w:rsid w:val="00897D30"/>
    <w:rsid w:val="008A1C1E"/>
    <w:rsid w:val="008A30DD"/>
    <w:rsid w:val="008A39DB"/>
    <w:rsid w:val="008A495C"/>
    <w:rsid w:val="008A5B27"/>
    <w:rsid w:val="008A5DC9"/>
    <w:rsid w:val="008A5ECC"/>
    <w:rsid w:val="008A69DC"/>
    <w:rsid w:val="008B0873"/>
    <w:rsid w:val="008B09B2"/>
    <w:rsid w:val="008B0D25"/>
    <w:rsid w:val="008B15D2"/>
    <w:rsid w:val="008B50A0"/>
    <w:rsid w:val="008B583F"/>
    <w:rsid w:val="008B5A69"/>
    <w:rsid w:val="008B7D26"/>
    <w:rsid w:val="008C00CA"/>
    <w:rsid w:val="008C09CD"/>
    <w:rsid w:val="008C1DB6"/>
    <w:rsid w:val="008C236B"/>
    <w:rsid w:val="008C3489"/>
    <w:rsid w:val="008C3D21"/>
    <w:rsid w:val="008C448D"/>
    <w:rsid w:val="008C65BC"/>
    <w:rsid w:val="008C6756"/>
    <w:rsid w:val="008C7494"/>
    <w:rsid w:val="008C787F"/>
    <w:rsid w:val="008C78AE"/>
    <w:rsid w:val="008C7974"/>
    <w:rsid w:val="008D0479"/>
    <w:rsid w:val="008D1BE4"/>
    <w:rsid w:val="008D1CFB"/>
    <w:rsid w:val="008D2146"/>
    <w:rsid w:val="008D31B7"/>
    <w:rsid w:val="008D52E7"/>
    <w:rsid w:val="008D5AF0"/>
    <w:rsid w:val="008D5CFD"/>
    <w:rsid w:val="008D6FF6"/>
    <w:rsid w:val="008D763C"/>
    <w:rsid w:val="008D7938"/>
    <w:rsid w:val="008D7E1B"/>
    <w:rsid w:val="008E0899"/>
    <w:rsid w:val="008E09FA"/>
    <w:rsid w:val="008E13FD"/>
    <w:rsid w:val="008E1664"/>
    <w:rsid w:val="008E1901"/>
    <w:rsid w:val="008E2557"/>
    <w:rsid w:val="008E2CA5"/>
    <w:rsid w:val="008E3917"/>
    <w:rsid w:val="008E39FF"/>
    <w:rsid w:val="008E4A30"/>
    <w:rsid w:val="008E5331"/>
    <w:rsid w:val="008E5B17"/>
    <w:rsid w:val="008E6517"/>
    <w:rsid w:val="008E6AA3"/>
    <w:rsid w:val="008E7BF0"/>
    <w:rsid w:val="008F1732"/>
    <w:rsid w:val="008F173D"/>
    <w:rsid w:val="008F3B47"/>
    <w:rsid w:val="008F4243"/>
    <w:rsid w:val="008F4273"/>
    <w:rsid w:val="008F4414"/>
    <w:rsid w:val="008F512F"/>
    <w:rsid w:val="008F5354"/>
    <w:rsid w:val="008F5BCC"/>
    <w:rsid w:val="008F600F"/>
    <w:rsid w:val="008F63E3"/>
    <w:rsid w:val="008F6E7D"/>
    <w:rsid w:val="008F736F"/>
    <w:rsid w:val="009001D6"/>
    <w:rsid w:val="009004CF"/>
    <w:rsid w:val="00901061"/>
    <w:rsid w:val="009010F0"/>
    <w:rsid w:val="00901AEB"/>
    <w:rsid w:val="009023B4"/>
    <w:rsid w:val="0090295E"/>
    <w:rsid w:val="00902C32"/>
    <w:rsid w:val="0090333C"/>
    <w:rsid w:val="00904008"/>
    <w:rsid w:val="009042FC"/>
    <w:rsid w:val="00906907"/>
    <w:rsid w:val="00911A02"/>
    <w:rsid w:val="00911B25"/>
    <w:rsid w:val="00912A5C"/>
    <w:rsid w:val="009132F7"/>
    <w:rsid w:val="00913636"/>
    <w:rsid w:val="00914221"/>
    <w:rsid w:val="00915794"/>
    <w:rsid w:val="0091591A"/>
    <w:rsid w:val="00915F93"/>
    <w:rsid w:val="00916A08"/>
    <w:rsid w:val="00916CF9"/>
    <w:rsid w:val="009208EC"/>
    <w:rsid w:val="009229EF"/>
    <w:rsid w:val="00923C8C"/>
    <w:rsid w:val="0092452D"/>
    <w:rsid w:val="00924C8D"/>
    <w:rsid w:val="00924F3C"/>
    <w:rsid w:val="00925447"/>
    <w:rsid w:val="00925A4F"/>
    <w:rsid w:val="00926469"/>
    <w:rsid w:val="0092743A"/>
    <w:rsid w:val="0092784A"/>
    <w:rsid w:val="00927FD3"/>
    <w:rsid w:val="00930CB2"/>
    <w:rsid w:val="00931633"/>
    <w:rsid w:val="0093191B"/>
    <w:rsid w:val="00932653"/>
    <w:rsid w:val="0093329D"/>
    <w:rsid w:val="009332EF"/>
    <w:rsid w:val="0093418F"/>
    <w:rsid w:val="00935566"/>
    <w:rsid w:val="0093770C"/>
    <w:rsid w:val="00940ED1"/>
    <w:rsid w:val="00941BA2"/>
    <w:rsid w:val="009424CF"/>
    <w:rsid w:val="009430F2"/>
    <w:rsid w:val="009438B8"/>
    <w:rsid w:val="009479BE"/>
    <w:rsid w:val="009509B8"/>
    <w:rsid w:val="00950AEF"/>
    <w:rsid w:val="00951FD9"/>
    <w:rsid w:val="00952049"/>
    <w:rsid w:val="00953EF7"/>
    <w:rsid w:val="009545A1"/>
    <w:rsid w:val="009549E6"/>
    <w:rsid w:val="00955455"/>
    <w:rsid w:val="0095613C"/>
    <w:rsid w:val="009564E1"/>
    <w:rsid w:val="009568E7"/>
    <w:rsid w:val="0095690F"/>
    <w:rsid w:val="00956E19"/>
    <w:rsid w:val="00957AAD"/>
    <w:rsid w:val="00962055"/>
    <w:rsid w:val="00962FC8"/>
    <w:rsid w:val="0096512D"/>
    <w:rsid w:val="00965B30"/>
    <w:rsid w:val="00965C46"/>
    <w:rsid w:val="009660CE"/>
    <w:rsid w:val="0096687E"/>
    <w:rsid w:val="009679FA"/>
    <w:rsid w:val="00967DDF"/>
    <w:rsid w:val="00967DFB"/>
    <w:rsid w:val="00970149"/>
    <w:rsid w:val="00970D5A"/>
    <w:rsid w:val="009715C4"/>
    <w:rsid w:val="009719AE"/>
    <w:rsid w:val="00971F8C"/>
    <w:rsid w:val="00972D93"/>
    <w:rsid w:val="00973C9C"/>
    <w:rsid w:val="009746C3"/>
    <w:rsid w:val="00974E6E"/>
    <w:rsid w:val="00975407"/>
    <w:rsid w:val="00975ED8"/>
    <w:rsid w:val="00976672"/>
    <w:rsid w:val="009769A7"/>
    <w:rsid w:val="00976C07"/>
    <w:rsid w:val="00976E2C"/>
    <w:rsid w:val="00977BAF"/>
    <w:rsid w:val="009808FA"/>
    <w:rsid w:val="00982129"/>
    <w:rsid w:val="0098389D"/>
    <w:rsid w:val="009838A0"/>
    <w:rsid w:val="0098568F"/>
    <w:rsid w:val="00985EC9"/>
    <w:rsid w:val="00986A21"/>
    <w:rsid w:val="0098712A"/>
    <w:rsid w:val="009877B0"/>
    <w:rsid w:val="009903EF"/>
    <w:rsid w:val="00991634"/>
    <w:rsid w:val="00991BEB"/>
    <w:rsid w:val="00991DA9"/>
    <w:rsid w:val="00991E72"/>
    <w:rsid w:val="009921C6"/>
    <w:rsid w:val="00993619"/>
    <w:rsid w:val="00993A04"/>
    <w:rsid w:val="009942DC"/>
    <w:rsid w:val="00995951"/>
    <w:rsid w:val="009967CC"/>
    <w:rsid w:val="009973DF"/>
    <w:rsid w:val="009977F9"/>
    <w:rsid w:val="00997874"/>
    <w:rsid w:val="009978B5"/>
    <w:rsid w:val="009A03B8"/>
    <w:rsid w:val="009A41F7"/>
    <w:rsid w:val="009A45E8"/>
    <w:rsid w:val="009A4974"/>
    <w:rsid w:val="009A5C19"/>
    <w:rsid w:val="009A6C27"/>
    <w:rsid w:val="009A7423"/>
    <w:rsid w:val="009A7C72"/>
    <w:rsid w:val="009A7E17"/>
    <w:rsid w:val="009A7E5C"/>
    <w:rsid w:val="009B06F1"/>
    <w:rsid w:val="009B07A0"/>
    <w:rsid w:val="009B090C"/>
    <w:rsid w:val="009B091F"/>
    <w:rsid w:val="009B2028"/>
    <w:rsid w:val="009B2CBF"/>
    <w:rsid w:val="009B4558"/>
    <w:rsid w:val="009B50B2"/>
    <w:rsid w:val="009B5812"/>
    <w:rsid w:val="009B60B6"/>
    <w:rsid w:val="009B7038"/>
    <w:rsid w:val="009B787C"/>
    <w:rsid w:val="009B7936"/>
    <w:rsid w:val="009B7A3B"/>
    <w:rsid w:val="009C0447"/>
    <w:rsid w:val="009C09AE"/>
    <w:rsid w:val="009C125E"/>
    <w:rsid w:val="009C16FF"/>
    <w:rsid w:val="009C3727"/>
    <w:rsid w:val="009C42C5"/>
    <w:rsid w:val="009C5040"/>
    <w:rsid w:val="009C63D9"/>
    <w:rsid w:val="009C6647"/>
    <w:rsid w:val="009C68D8"/>
    <w:rsid w:val="009C6D12"/>
    <w:rsid w:val="009C6F2D"/>
    <w:rsid w:val="009D1596"/>
    <w:rsid w:val="009D2700"/>
    <w:rsid w:val="009D2AE3"/>
    <w:rsid w:val="009D3121"/>
    <w:rsid w:val="009D40E3"/>
    <w:rsid w:val="009D56F8"/>
    <w:rsid w:val="009D73E6"/>
    <w:rsid w:val="009D7709"/>
    <w:rsid w:val="009D7A3A"/>
    <w:rsid w:val="009E148D"/>
    <w:rsid w:val="009E15DE"/>
    <w:rsid w:val="009E18ED"/>
    <w:rsid w:val="009E28E0"/>
    <w:rsid w:val="009E34EF"/>
    <w:rsid w:val="009E4EE4"/>
    <w:rsid w:val="009E585F"/>
    <w:rsid w:val="009E5B86"/>
    <w:rsid w:val="009E5D7F"/>
    <w:rsid w:val="009E67E4"/>
    <w:rsid w:val="009E6D99"/>
    <w:rsid w:val="009E6F61"/>
    <w:rsid w:val="009F11EF"/>
    <w:rsid w:val="009F2329"/>
    <w:rsid w:val="009F248E"/>
    <w:rsid w:val="009F2763"/>
    <w:rsid w:val="009F39B5"/>
    <w:rsid w:val="009F4A64"/>
    <w:rsid w:val="00A01085"/>
    <w:rsid w:val="00A01177"/>
    <w:rsid w:val="00A01A87"/>
    <w:rsid w:val="00A01A8C"/>
    <w:rsid w:val="00A02042"/>
    <w:rsid w:val="00A028B5"/>
    <w:rsid w:val="00A02C8F"/>
    <w:rsid w:val="00A070BC"/>
    <w:rsid w:val="00A07975"/>
    <w:rsid w:val="00A07B45"/>
    <w:rsid w:val="00A107D4"/>
    <w:rsid w:val="00A11843"/>
    <w:rsid w:val="00A12A42"/>
    <w:rsid w:val="00A13647"/>
    <w:rsid w:val="00A1391B"/>
    <w:rsid w:val="00A13D75"/>
    <w:rsid w:val="00A13DD0"/>
    <w:rsid w:val="00A140A6"/>
    <w:rsid w:val="00A15528"/>
    <w:rsid w:val="00A16112"/>
    <w:rsid w:val="00A16261"/>
    <w:rsid w:val="00A16782"/>
    <w:rsid w:val="00A16FBE"/>
    <w:rsid w:val="00A17FB9"/>
    <w:rsid w:val="00A20259"/>
    <w:rsid w:val="00A20D0B"/>
    <w:rsid w:val="00A20F01"/>
    <w:rsid w:val="00A20F61"/>
    <w:rsid w:val="00A21E1D"/>
    <w:rsid w:val="00A21E82"/>
    <w:rsid w:val="00A22AFA"/>
    <w:rsid w:val="00A25713"/>
    <w:rsid w:val="00A25DAC"/>
    <w:rsid w:val="00A25F67"/>
    <w:rsid w:val="00A265DD"/>
    <w:rsid w:val="00A2673C"/>
    <w:rsid w:val="00A2725A"/>
    <w:rsid w:val="00A272E2"/>
    <w:rsid w:val="00A27960"/>
    <w:rsid w:val="00A30D7E"/>
    <w:rsid w:val="00A311D2"/>
    <w:rsid w:val="00A31FB1"/>
    <w:rsid w:val="00A325DC"/>
    <w:rsid w:val="00A33EBB"/>
    <w:rsid w:val="00A34886"/>
    <w:rsid w:val="00A35281"/>
    <w:rsid w:val="00A3684C"/>
    <w:rsid w:val="00A36A5B"/>
    <w:rsid w:val="00A36B00"/>
    <w:rsid w:val="00A36EA0"/>
    <w:rsid w:val="00A37467"/>
    <w:rsid w:val="00A401FA"/>
    <w:rsid w:val="00A4086F"/>
    <w:rsid w:val="00A417A4"/>
    <w:rsid w:val="00A418CA"/>
    <w:rsid w:val="00A41DCD"/>
    <w:rsid w:val="00A41EF5"/>
    <w:rsid w:val="00A43872"/>
    <w:rsid w:val="00A43DB9"/>
    <w:rsid w:val="00A43FDA"/>
    <w:rsid w:val="00A44ED6"/>
    <w:rsid w:val="00A4520E"/>
    <w:rsid w:val="00A46CC6"/>
    <w:rsid w:val="00A50B63"/>
    <w:rsid w:val="00A5164F"/>
    <w:rsid w:val="00A52717"/>
    <w:rsid w:val="00A52791"/>
    <w:rsid w:val="00A54240"/>
    <w:rsid w:val="00A559E1"/>
    <w:rsid w:val="00A5664B"/>
    <w:rsid w:val="00A56F77"/>
    <w:rsid w:val="00A575D7"/>
    <w:rsid w:val="00A57DCD"/>
    <w:rsid w:val="00A57F45"/>
    <w:rsid w:val="00A616EA"/>
    <w:rsid w:val="00A61B74"/>
    <w:rsid w:val="00A6223B"/>
    <w:rsid w:val="00A62855"/>
    <w:rsid w:val="00A64281"/>
    <w:rsid w:val="00A6430F"/>
    <w:rsid w:val="00A64C27"/>
    <w:rsid w:val="00A65A52"/>
    <w:rsid w:val="00A661A5"/>
    <w:rsid w:val="00A66DD8"/>
    <w:rsid w:val="00A67D23"/>
    <w:rsid w:val="00A70027"/>
    <w:rsid w:val="00A729F0"/>
    <w:rsid w:val="00A74152"/>
    <w:rsid w:val="00A75781"/>
    <w:rsid w:val="00A765FB"/>
    <w:rsid w:val="00A77888"/>
    <w:rsid w:val="00A80765"/>
    <w:rsid w:val="00A812C7"/>
    <w:rsid w:val="00A82256"/>
    <w:rsid w:val="00A82C78"/>
    <w:rsid w:val="00A82F9A"/>
    <w:rsid w:val="00A8303D"/>
    <w:rsid w:val="00A84634"/>
    <w:rsid w:val="00A853E9"/>
    <w:rsid w:val="00A85911"/>
    <w:rsid w:val="00A86B89"/>
    <w:rsid w:val="00A86BC9"/>
    <w:rsid w:val="00A873D1"/>
    <w:rsid w:val="00A903A1"/>
    <w:rsid w:val="00A927A3"/>
    <w:rsid w:val="00A93749"/>
    <w:rsid w:val="00A93A7F"/>
    <w:rsid w:val="00A955C9"/>
    <w:rsid w:val="00A95668"/>
    <w:rsid w:val="00A964FE"/>
    <w:rsid w:val="00A966B5"/>
    <w:rsid w:val="00A967F4"/>
    <w:rsid w:val="00A974EF"/>
    <w:rsid w:val="00A978BC"/>
    <w:rsid w:val="00A97E30"/>
    <w:rsid w:val="00A97F76"/>
    <w:rsid w:val="00AA084A"/>
    <w:rsid w:val="00AA2668"/>
    <w:rsid w:val="00AA28D9"/>
    <w:rsid w:val="00AA2F0E"/>
    <w:rsid w:val="00AA38BD"/>
    <w:rsid w:val="00AA537D"/>
    <w:rsid w:val="00AA6705"/>
    <w:rsid w:val="00AA6A88"/>
    <w:rsid w:val="00AA6F1B"/>
    <w:rsid w:val="00AA7803"/>
    <w:rsid w:val="00AA7DC1"/>
    <w:rsid w:val="00AB0EDF"/>
    <w:rsid w:val="00AB1420"/>
    <w:rsid w:val="00AB18B3"/>
    <w:rsid w:val="00AB1A7D"/>
    <w:rsid w:val="00AB42E9"/>
    <w:rsid w:val="00AB48DA"/>
    <w:rsid w:val="00AB50A4"/>
    <w:rsid w:val="00AB54AC"/>
    <w:rsid w:val="00AB57BA"/>
    <w:rsid w:val="00AB5A37"/>
    <w:rsid w:val="00AB5A3D"/>
    <w:rsid w:val="00AB648A"/>
    <w:rsid w:val="00AB6B7C"/>
    <w:rsid w:val="00AB7476"/>
    <w:rsid w:val="00AC0874"/>
    <w:rsid w:val="00AC2C10"/>
    <w:rsid w:val="00AC3DE3"/>
    <w:rsid w:val="00AC4439"/>
    <w:rsid w:val="00AC4756"/>
    <w:rsid w:val="00AC5848"/>
    <w:rsid w:val="00AC5998"/>
    <w:rsid w:val="00AC6363"/>
    <w:rsid w:val="00AC71E2"/>
    <w:rsid w:val="00AC76A9"/>
    <w:rsid w:val="00AD01A0"/>
    <w:rsid w:val="00AD073E"/>
    <w:rsid w:val="00AD0BDC"/>
    <w:rsid w:val="00AD2366"/>
    <w:rsid w:val="00AD289F"/>
    <w:rsid w:val="00AD3B3A"/>
    <w:rsid w:val="00AD5569"/>
    <w:rsid w:val="00AD5B77"/>
    <w:rsid w:val="00AD5ECF"/>
    <w:rsid w:val="00AD601B"/>
    <w:rsid w:val="00AD68A0"/>
    <w:rsid w:val="00AD7345"/>
    <w:rsid w:val="00AD7D7F"/>
    <w:rsid w:val="00AE1E87"/>
    <w:rsid w:val="00AE34A9"/>
    <w:rsid w:val="00AE39A2"/>
    <w:rsid w:val="00AE3F52"/>
    <w:rsid w:val="00AE3FF9"/>
    <w:rsid w:val="00AE43B7"/>
    <w:rsid w:val="00AE61B8"/>
    <w:rsid w:val="00AE6287"/>
    <w:rsid w:val="00AE64D7"/>
    <w:rsid w:val="00AE6C50"/>
    <w:rsid w:val="00AE72CE"/>
    <w:rsid w:val="00AF003A"/>
    <w:rsid w:val="00AF0D18"/>
    <w:rsid w:val="00AF1374"/>
    <w:rsid w:val="00AF1940"/>
    <w:rsid w:val="00AF328F"/>
    <w:rsid w:val="00AF4D7E"/>
    <w:rsid w:val="00AF5A95"/>
    <w:rsid w:val="00AF6200"/>
    <w:rsid w:val="00AF6346"/>
    <w:rsid w:val="00AF77F4"/>
    <w:rsid w:val="00B0008F"/>
    <w:rsid w:val="00B00506"/>
    <w:rsid w:val="00B0071E"/>
    <w:rsid w:val="00B019C5"/>
    <w:rsid w:val="00B01DAC"/>
    <w:rsid w:val="00B02DB2"/>
    <w:rsid w:val="00B03177"/>
    <w:rsid w:val="00B04277"/>
    <w:rsid w:val="00B04576"/>
    <w:rsid w:val="00B04C15"/>
    <w:rsid w:val="00B05189"/>
    <w:rsid w:val="00B057E2"/>
    <w:rsid w:val="00B060A9"/>
    <w:rsid w:val="00B071D2"/>
    <w:rsid w:val="00B10D64"/>
    <w:rsid w:val="00B11D8F"/>
    <w:rsid w:val="00B126B9"/>
    <w:rsid w:val="00B12BB5"/>
    <w:rsid w:val="00B140B5"/>
    <w:rsid w:val="00B1452D"/>
    <w:rsid w:val="00B14715"/>
    <w:rsid w:val="00B14DE5"/>
    <w:rsid w:val="00B15382"/>
    <w:rsid w:val="00B15C50"/>
    <w:rsid w:val="00B15CA1"/>
    <w:rsid w:val="00B16A03"/>
    <w:rsid w:val="00B16DD3"/>
    <w:rsid w:val="00B17077"/>
    <w:rsid w:val="00B17865"/>
    <w:rsid w:val="00B22417"/>
    <w:rsid w:val="00B23047"/>
    <w:rsid w:val="00B23081"/>
    <w:rsid w:val="00B24498"/>
    <w:rsid w:val="00B25592"/>
    <w:rsid w:val="00B267D0"/>
    <w:rsid w:val="00B301E3"/>
    <w:rsid w:val="00B3034C"/>
    <w:rsid w:val="00B3100C"/>
    <w:rsid w:val="00B31B24"/>
    <w:rsid w:val="00B3265F"/>
    <w:rsid w:val="00B33A23"/>
    <w:rsid w:val="00B358A3"/>
    <w:rsid w:val="00B377CA"/>
    <w:rsid w:val="00B37E3D"/>
    <w:rsid w:val="00B37FB8"/>
    <w:rsid w:val="00B403FA"/>
    <w:rsid w:val="00B41487"/>
    <w:rsid w:val="00B42B4E"/>
    <w:rsid w:val="00B433A8"/>
    <w:rsid w:val="00B43709"/>
    <w:rsid w:val="00B43EE2"/>
    <w:rsid w:val="00B440EE"/>
    <w:rsid w:val="00B45172"/>
    <w:rsid w:val="00B45DB5"/>
    <w:rsid w:val="00B4665E"/>
    <w:rsid w:val="00B47A12"/>
    <w:rsid w:val="00B51085"/>
    <w:rsid w:val="00B515B2"/>
    <w:rsid w:val="00B51CCE"/>
    <w:rsid w:val="00B52222"/>
    <w:rsid w:val="00B53B77"/>
    <w:rsid w:val="00B53E0E"/>
    <w:rsid w:val="00B5400C"/>
    <w:rsid w:val="00B54620"/>
    <w:rsid w:val="00B56064"/>
    <w:rsid w:val="00B57517"/>
    <w:rsid w:val="00B5781A"/>
    <w:rsid w:val="00B60D4B"/>
    <w:rsid w:val="00B61064"/>
    <w:rsid w:val="00B61658"/>
    <w:rsid w:val="00B61F51"/>
    <w:rsid w:val="00B62130"/>
    <w:rsid w:val="00B62340"/>
    <w:rsid w:val="00B623F1"/>
    <w:rsid w:val="00B631BD"/>
    <w:rsid w:val="00B6335E"/>
    <w:rsid w:val="00B6425C"/>
    <w:rsid w:val="00B650A2"/>
    <w:rsid w:val="00B650A4"/>
    <w:rsid w:val="00B6748B"/>
    <w:rsid w:val="00B70D5F"/>
    <w:rsid w:val="00B70E82"/>
    <w:rsid w:val="00B70ED4"/>
    <w:rsid w:val="00B71457"/>
    <w:rsid w:val="00B714D8"/>
    <w:rsid w:val="00B71ED5"/>
    <w:rsid w:val="00B72A5D"/>
    <w:rsid w:val="00B744D2"/>
    <w:rsid w:val="00B7490B"/>
    <w:rsid w:val="00B74B8B"/>
    <w:rsid w:val="00B7660A"/>
    <w:rsid w:val="00B7686E"/>
    <w:rsid w:val="00B77394"/>
    <w:rsid w:val="00B774B1"/>
    <w:rsid w:val="00B80A00"/>
    <w:rsid w:val="00B80D17"/>
    <w:rsid w:val="00B81BE4"/>
    <w:rsid w:val="00B8325C"/>
    <w:rsid w:val="00B8399E"/>
    <w:rsid w:val="00B83FA2"/>
    <w:rsid w:val="00B84186"/>
    <w:rsid w:val="00B84771"/>
    <w:rsid w:val="00B84C56"/>
    <w:rsid w:val="00B86602"/>
    <w:rsid w:val="00B87F5C"/>
    <w:rsid w:val="00B90755"/>
    <w:rsid w:val="00B916FB"/>
    <w:rsid w:val="00B9383C"/>
    <w:rsid w:val="00B93EA9"/>
    <w:rsid w:val="00B94152"/>
    <w:rsid w:val="00B94740"/>
    <w:rsid w:val="00B947C3"/>
    <w:rsid w:val="00B95515"/>
    <w:rsid w:val="00B956A3"/>
    <w:rsid w:val="00B96F8E"/>
    <w:rsid w:val="00B97105"/>
    <w:rsid w:val="00B971C7"/>
    <w:rsid w:val="00B9744D"/>
    <w:rsid w:val="00BA02A7"/>
    <w:rsid w:val="00BA1C55"/>
    <w:rsid w:val="00BA1FFE"/>
    <w:rsid w:val="00BA2A84"/>
    <w:rsid w:val="00BA2AEA"/>
    <w:rsid w:val="00BA2F2F"/>
    <w:rsid w:val="00BA3D3A"/>
    <w:rsid w:val="00BA6416"/>
    <w:rsid w:val="00BA6ACB"/>
    <w:rsid w:val="00BA712F"/>
    <w:rsid w:val="00BB0CB2"/>
    <w:rsid w:val="00BB1889"/>
    <w:rsid w:val="00BB1D65"/>
    <w:rsid w:val="00BB1D74"/>
    <w:rsid w:val="00BB1F9C"/>
    <w:rsid w:val="00BB250D"/>
    <w:rsid w:val="00BB26FB"/>
    <w:rsid w:val="00BB308C"/>
    <w:rsid w:val="00BB45A3"/>
    <w:rsid w:val="00BB5212"/>
    <w:rsid w:val="00BB6CF0"/>
    <w:rsid w:val="00BC01DD"/>
    <w:rsid w:val="00BC0460"/>
    <w:rsid w:val="00BC0C3E"/>
    <w:rsid w:val="00BC0EE6"/>
    <w:rsid w:val="00BC1074"/>
    <w:rsid w:val="00BC11DC"/>
    <w:rsid w:val="00BC1EC5"/>
    <w:rsid w:val="00BC58F2"/>
    <w:rsid w:val="00BC59F1"/>
    <w:rsid w:val="00BC743D"/>
    <w:rsid w:val="00BD04DA"/>
    <w:rsid w:val="00BD0799"/>
    <w:rsid w:val="00BD1C4B"/>
    <w:rsid w:val="00BD201E"/>
    <w:rsid w:val="00BD467D"/>
    <w:rsid w:val="00BD5A96"/>
    <w:rsid w:val="00BD5CCA"/>
    <w:rsid w:val="00BD6CF3"/>
    <w:rsid w:val="00BD7983"/>
    <w:rsid w:val="00BD7FB6"/>
    <w:rsid w:val="00BE0431"/>
    <w:rsid w:val="00BE0C91"/>
    <w:rsid w:val="00BE0D54"/>
    <w:rsid w:val="00BE1251"/>
    <w:rsid w:val="00BE2ACF"/>
    <w:rsid w:val="00BE38A8"/>
    <w:rsid w:val="00BE40A0"/>
    <w:rsid w:val="00BE420A"/>
    <w:rsid w:val="00BE4320"/>
    <w:rsid w:val="00BE43D8"/>
    <w:rsid w:val="00BE56E7"/>
    <w:rsid w:val="00BE5D41"/>
    <w:rsid w:val="00BE5DCF"/>
    <w:rsid w:val="00BE5E0E"/>
    <w:rsid w:val="00BE6146"/>
    <w:rsid w:val="00BE61E3"/>
    <w:rsid w:val="00BE6317"/>
    <w:rsid w:val="00BE66A2"/>
    <w:rsid w:val="00BE728A"/>
    <w:rsid w:val="00BE75E3"/>
    <w:rsid w:val="00BF1453"/>
    <w:rsid w:val="00BF2564"/>
    <w:rsid w:val="00BF32E2"/>
    <w:rsid w:val="00BF431F"/>
    <w:rsid w:val="00BF4BD0"/>
    <w:rsid w:val="00BF71C6"/>
    <w:rsid w:val="00BF7E8A"/>
    <w:rsid w:val="00C00A50"/>
    <w:rsid w:val="00C017C3"/>
    <w:rsid w:val="00C025EB"/>
    <w:rsid w:val="00C03FC1"/>
    <w:rsid w:val="00C06589"/>
    <w:rsid w:val="00C06E35"/>
    <w:rsid w:val="00C06FB1"/>
    <w:rsid w:val="00C07F72"/>
    <w:rsid w:val="00C10318"/>
    <w:rsid w:val="00C1263B"/>
    <w:rsid w:val="00C12769"/>
    <w:rsid w:val="00C12BA6"/>
    <w:rsid w:val="00C14852"/>
    <w:rsid w:val="00C16993"/>
    <w:rsid w:val="00C16D85"/>
    <w:rsid w:val="00C17BA1"/>
    <w:rsid w:val="00C17F1E"/>
    <w:rsid w:val="00C21435"/>
    <w:rsid w:val="00C22572"/>
    <w:rsid w:val="00C22AF5"/>
    <w:rsid w:val="00C23196"/>
    <w:rsid w:val="00C23F1C"/>
    <w:rsid w:val="00C24B99"/>
    <w:rsid w:val="00C25E47"/>
    <w:rsid w:val="00C274DF"/>
    <w:rsid w:val="00C30567"/>
    <w:rsid w:val="00C30FE4"/>
    <w:rsid w:val="00C310FB"/>
    <w:rsid w:val="00C32425"/>
    <w:rsid w:val="00C32853"/>
    <w:rsid w:val="00C34C19"/>
    <w:rsid w:val="00C3635D"/>
    <w:rsid w:val="00C36887"/>
    <w:rsid w:val="00C37A70"/>
    <w:rsid w:val="00C401B9"/>
    <w:rsid w:val="00C41864"/>
    <w:rsid w:val="00C42071"/>
    <w:rsid w:val="00C4264C"/>
    <w:rsid w:val="00C43623"/>
    <w:rsid w:val="00C446A4"/>
    <w:rsid w:val="00C458C6"/>
    <w:rsid w:val="00C45989"/>
    <w:rsid w:val="00C46A4B"/>
    <w:rsid w:val="00C46A90"/>
    <w:rsid w:val="00C50445"/>
    <w:rsid w:val="00C51E37"/>
    <w:rsid w:val="00C542DF"/>
    <w:rsid w:val="00C546BD"/>
    <w:rsid w:val="00C54F29"/>
    <w:rsid w:val="00C553E0"/>
    <w:rsid w:val="00C55E4D"/>
    <w:rsid w:val="00C5738B"/>
    <w:rsid w:val="00C61706"/>
    <w:rsid w:val="00C6180D"/>
    <w:rsid w:val="00C61918"/>
    <w:rsid w:val="00C625BC"/>
    <w:rsid w:val="00C6301B"/>
    <w:rsid w:val="00C631F4"/>
    <w:rsid w:val="00C6348C"/>
    <w:rsid w:val="00C642B8"/>
    <w:rsid w:val="00C642F4"/>
    <w:rsid w:val="00C64336"/>
    <w:rsid w:val="00C649C8"/>
    <w:rsid w:val="00C64B8E"/>
    <w:rsid w:val="00C65065"/>
    <w:rsid w:val="00C654C3"/>
    <w:rsid w:val="00C65C62"/>
    <w:rsid w:val="00C65D84"/>
    <w:rsid w:val="00C66BD8"/>
    <w:rsid w:val="00C66D44"/>
    <w:rsid w:val="00C67889"/>
    <w:rsid w:val="00C6796D"/>
    <w:rsid w:val="00C7001B"/>
    <w:rsid w:val="00C7025B"/>
    <w:rsid w:val="00C70294"/>
    <w:rsid w:val="00C7064D"/>
    <w:rsid w:val="00C70D8E"/>
    <w:rsid w:val="00C7266A"/>
    <w:rsid w:val="00C72678"/>
    <w:rsid w:val="00C73A0E"/>
    <w:rsid w:val="00C741A1"/>
    <w:rsid w:val="00C754B3"/>
    <w:rsid w:val="00C76BF3"/>
    <w:rsid w:val="00C779A7"/>
    <w:rsid w:val="00C77F7F"/>
    <w:rsid w:val="00C80856"/>
    <w:rsid w:val="00C80BC6"/>
    <w:rsid w:val="00C80F99"/>
    <w:rsid w:val="00C82E3B"/>
    <w:rsid w:val="00C8494C"/>
    <w:rsid w:val="00C85795"/>
    <w:rsid w:val="00C860A5"/>
    <w:rsid w:val="00C86FE7"/>
    <w:rsid w:val="00C8781D"/>
    <w:rsid w:val="00C90ABF"/>
    <w:rsid w:val="00C90ACE"/>
    <w:rsid w:val="00C918A1"/>
    <w:rsid w:val="00C91FD9"/>
    <w:rsid w:val="00C92056"/>
    <w:rsid w:val="00C9295F"/>
    <w:rsid w:val="00C9329F"/>
    <w:rsid w:val="00C937F0"/>
    <w:rsid w:val="00C94303"/>
    <w:rsid w:val="00C94E9B"/>
    <w:rsid w:val="00C94E9D"/>
    <w:rsid w:val="00C9644F"/>
    <w:rsid w:val="00C9697D"/>
    <w:rsid w:val="00C96E91"/>
    <w:rsid w:val="00C9733F"/>
    <w:rsid w:val="00CA17A0"/>
    <w:rsid w:val="00CA19E6"/>
    <w:rsid w:val="00CA4DED"/>
    <w:rsid w:val="00CA4FCF"/>
    <w:rsid w:val="00CA61E6"/>
    <w:rsid w:val="00CA63E8"/>
    <w:rsid w:val="00CA6446"/>
    <w:rsid w:val="00CA6E7A"/>
    <w:rsid w:val="00CA70CA"/>
    <w:rsid w:val="00CA7272"/>
    <w:rsid w:val="00CA72F5"/>
    <w:rsid w:val="00CB1005"/>
    <w:rsid w:val="00CB1163"/>
    <w:rsid w:val="00CB1332"/>
    <w:rsid w:val="00CB1818"/>
    <w:rsid w:val="00CB369E"/>
    <w:rsid w:val="00CB3E2E"/>
    <w:rsid w:val="00CB3E4E"/>
    <w:rsid w:val="00CB4071"/>
    <w:rsid w:val="00CB4C4F"/>
    <w:rsid w:val="00CB4FA6"/>
    <w:rsid w:val="00CB50CF"/>
    <w:rsid w:val="00CB604F"/>
    <w:rsid w:val="00CB6248"/>
    <w:rsid w:val="00CB63B2"/>
    <w:rsid w:val="00CB6871"/>
    <w:rsid w:val="00CB69E7"/>
    <w:rsid w:val="00CB7623"/>
    <w:rsid w:val="00CB7B32"/>
    <w:rsid w:val="00CB7D51"/>
    <w:rsid w:val="00CC0EC8"/>
    <w:rsid w:val="00CC1288"/>
    <w:rsid w:val="00CC1A0A"/>
    <w:rsid w:val="00CC3254"/>
    <w:rsid w:val="00CC4933"/>
    <w:rsid w:val="00CC4A8A"/>
    <w:rsid w:val="00CC4CEA"/>
    <w:rsid w:val="00CC5641"/>
    <w:rsid w:val="00CC61BF"/>
    <w:rsid w:val="00CC6FE1"/>
    <w:rsid w:val="00CC7826"/>
    <w:rsid w:val="00CC7CB4"/>
    <w:rsid w:val="00CD17EE"/>
    <w:rsid w:val="00CD225B"/>
    <w:rsid w:val="00CD2827"/>
    <w:rsid w:val="00CD377D"/>
    <w:rsid w:val="00CD39F3"/>
    <w:rsid w:val="00CD4AC5"/>
    <w:rsid w:val="00CD4E77"/>
    <w:rsid w:val="00CD60DC"/>
    <w:rsid w:val="00CD6EA0"/>
    <w:rsid w:val="00CD75FE"/>
    <w:rsid w:val="00CE0A2A"/>
    <w:rsid w:val="00CE115F"/>
    <w:rsid w:val="00CE327F"/>
    <w:rsid w:val="00CE645F"/>
    <w:rsid w:val="00CE68A3"/>
    <w:rsid w:val="00CE7BAA"/>
    <w:rsid w:val="00CF083E"/>
    <w:rsid w:val="00CF14E1"/>
    <w:rsid w:val="00CF1D86"/>
    <w:rsid w:val="00CF2C29"/>
    <w:rsid w:val="00CF300C"/>
    <w:rsid w:val="00CF32B4"/>
    <w:rsid w:val="00CF5053"/>
    <w:rsid w:val="00CF55E3"/>
    <w:rsid w:val="00D01346"/>
    <w:rsid w:val="00D020A2"/>
    <w:rsid w:val="00D03465"/>
    <w:rsid w:val="00D034ED"/>
    <w:rsid w:val="00D044C0"/>
    <w:rsid w:val="00D0466A"/>
    <w:rsid w:val="00D0538E"/>
    <w:rsid w:val="00D053EF"/>
    <w:rsid w:val="00D0594B"/>
    <w:rsid w:val="00D06BC3"/>
    <w:rsid w:val="00D123A4"/>
    <w:rsid w:val="00D12956"/>
    <w:rsid w:val="00D12FA3"/>
    <w:rsid w:val="00D13F41"/>
    <w:rsid w:val="00D14732"/>
    <w:rsid w:val="00D15550"/>
    <w:rsid w:val="00D157B6"/>
    <w:rsid w:val="00D15B52"/>
    <w:rsid w:val="00D1610E"/>
    <w:rsid w:val="00D16DFE"/>
    <w:rsid w:val="00D16F92"/>
    <w:rsid w:val="00D17316"/>
    <w:rsid w:val="00D1736A"/>
    <w:rsid w:val="00D17858"/>
    <w:rsid w:val="00D20318"/>
    <w:rsid w:val="00D20753"/>
    <w:rsid w:val="00D20FE2"/>
    <w:rsid w:val="00D215C7"/>
    <w:rsid w:val="00D21958"/>
    <w:rsid w:val="00D21E92"/>
    <w:rsid w:val="00D237CE"/>
    <w:rsid w:val="00D23931"/>
    <w:rsid w:val="00D24182"/>
    <w:rsid w:val="00D243D2"/>
    <w:rsid w:val="00D245E1"/>
    <w:rsid w:val="00D24FE4"/>
    <w:rsid w:val="00D25327"/>
    <w:rsid w:val="00D25636"/>
    <w:rsid w:val="00D25E99"/>
    <w:rsid w:val="00D2651D"/>
    <w:rsid w:val="00D272AA"/>
    <w:rsid w:val="00D27687"/>
    <w:rsid w:val="00D303AC"/>
    <w:rsid w:val="00D30F71"/>
    <w:rsid w:val="00D31007"/>
    <w:rsid w:val="00D31348"/>
    <w:rsid w:val="00D3154F"/>
    <w:rsid w:val="00D32469"/>
    <w:rsid w:val="00D32746"/>
    <w:rsid w:val="00D32A19"/>
    <w:rsid w:val="00D333C8"/>
    <w:rsid w:val="00D33ED8"/>
    <w:rsid w:val="00D34281"/>
    <w:rsid w:val="00D3502D"/>
    <w:rsid w:val="00D36CAE"/>
    <w:rsid w:val="00D36F43"/>
    <w:rsid w:val="00D404D5"/>
    <w:rsid w:val="00D40947"/>
    <w:rsid w:val="00D412FA"/>
    <w:rsid w:val="00D41739"/>
    <w:rsid w:val="00D4177F"/>
    <w:rsid w:val="00D42506"/>
    <w:rsid w:val="00D42B3A"/>
    <w:rsid w:val="00D45F96"/>
    <w:rsid w:val="00D461AE"/>
    <w:rsid w:val="00D46E27"/>
    <w:rsid w:val="00D46F99"/>
    <w:rsid w:val="00D478DC"/>
    <w:rsid w:val="00D47B37"/>
    <w:rsid w:val="00D50143"/>
    <w:rsid w:val="00D5058B"/>
    <w:rsid w:val="00D51BB0"/>
    <w:rsid w:val="00D520F0"/>
    <w:rsid w:val="00D5398E"/>
    <w:rsid w:val="00D550F2"/>
    <w:rsid w:val="00D568A8"/>
    <w:rsid w:val="00D56F78"/>
    <w:rsid w:val="00D57CC6"/>
    <w:rsid w:val="00D6049A"/>
    <w:rsid w:val="00D646AF"/>
    <w:rsid w:val="00D6506D"/>
    <w:rsid w:val="00D65954"/>
    <w:rsid w:val="00D661B1"/>
    <w:rsid w:val="00D6720C"/>
    <w:rsid w:val="00D70B6D"/>
    <w:rsid w:val="00D71729"/>
    <w:rsid w:val="00D71A60"/>
    <w:rsid w:val="00D71E1F"/>
    <w:rsid w:val="00D732B7"/>
    <w:rsid w:val="00D73B92"/>
    <w:rsid w:val="00D73FDF"/>
    <w:rsid w:val="00D7452B"/>
    <w:rsid w:val="00D74EDC"/>
    <w:rsid w:val="00D7550E"/>
    <w:rsid w:val="00D755F1"/>
    <w:rsid w:val="00D761CE"/>
    <w:rsid w:val="00D77783"/>
    <w:rsid w:val="00D810D4"/>
    <w:rsid w:val="00D8138D"/>
    <w:rsid w:val="00D82FCC"/>
    <w:rsid w:val="00D83C70"/>
    <w:rsid w:val="00D83E55"/>
    <w:rsid w:val="00D84620"/>
    <w:rsid w:val="00D85FCB"/>
    <w:rsid w:val="00D862BF"/>
    <w:rsid w:val="00D878EE"/>
    <w:rsid w:val="00D91052"/>
    <w:rsid w:val="00D915BE"/>
    <w:rsid w:val="00D91D0B"/>
    <w:rsid w:val="00D92683"/>
    <w:rsid w:val="00D9288C"/>
    <w:rsid w:val="00D92F7E"/>
    <w:rsid w:val="00D94820"/>
    <w:rsid w:val="00D94F2C"/>
    <w:rsid w:val="00D96BF8"/>
    <w:rsid w:val="00D97E03"/>
    <w:rsid w:val="00DA05BF"/>
    <w:rsid w:val="00DA0D2A"/>
    <w:rsid w:val="00DA16AB"/>
    <w:rsid w:val="00DA17FB"/>
    <w:rsid w:val="00DA2174"/>
    <w:rsid w:val="00DA2E55"/>
    <w:rsid w:val="00DA386F"/>
    <w:rsid w:val="00DA433E"/>
    <w:rsid w:val="00DA4A54"/>
    <w:rsid w:val="00DA4B24"/>
    <w:rsid w:val="00DA512B"/>
    <w:rsid w:val="00DA53AB"/>
    <w:rsid w:val="00DA5942"/>
    <w:rsid w:val="00DA5FEB"/>
    <w:rsid w:val="00DA65B9"/>
    <w:rsid w:val="00DA66D8"/>
    <w:rsid w:val="00DA7447"/>
    <w:rsid w:val="00DA756F"/>
    <w:rsid w:val="00DA75BF"/>
    <w:rsid w:val="00DB1E70"/>
    <w:rsid w:val="00DB2469"/>
    <w:rsid w:val="00DB248F"/>
    <w:rsid w:val="00DB2A19"/>
    <w:rsid w:val="00DB49E5"/>
    <w:rsid w:val="00DB7089"/>
    <w:rsid w:val="00DB7EA7"/>
    <w:rsid w:val="00DC089F"/>
    <w:rsid w:val="00DC1211"/>
    <w:rsid w:val="00DC1A93"/>
    <w:rsid w:val="00DC1E47"/>
    <w:rsid w:val="00DC1EB3"/>
    <w:rsid w:val="00DC275C"/>
    <w:rsid w:val="00DC313D"/>
    <w:rsid w:val="00DC36BB"/>
    <w:rsid w:val="00DC411E"/>
    <w:rsid w:val="00DC46BC"/>
    <w:rsid w:val="00DC4F86"/>
    <w:rsid w:val="00DC6291"/>
    <w:rsid w:val="00DC6A00"/>
    <w:rsid w:val="00DC6CCE"/>
    <w:rsid w:val="00DD0ABD"/>
    <w:rsid w:val="00DD2200"/>
    <w:rsid w:val="00DD2C0D"/>
    <w:rsid w:val="00DD2E5C"/>
    <w:rsid w:val="00DD37B1"/>
    <w:rsid w:val="00DD37BF"/>
    <w:rsid w:val="00DD588A"/>
    <w:rsid w:val="00DD6C73"/>
    <w:rsid w:val="00DE04A5"/>
    <w:rsid w:val="00DE0EEF"/>
    <w:rsid w:val="00DE273B"/>
    <w:rsid w:val="00DE4091"/>
    <w:rsid w:val="00DE43D2"/>
    <w:rsid w:val="00DE586F"/>
    <w:rsid w:val="00DE5FE3"/>
    <w:rsid w:val="00DE6BAE"/>
    <w:rsid w:val="00DF05C5"/>
    <w:rsid w:val="00DF17E4"/>
    <w:rsid w:val="00DF1FC5"/>
    <w:rsid w:val="00DF3F3F"/>
    <w:rsid w:val="00DF479A"/>
    <w:rsid w:val="00DF534A"/>
    <w:rsid w:val="00DF5A02"/>
    <w:rsid w:val="00DF5FEA"/>
    <w:rsid w:val="00DF6B23"/>
    <w:rsid w:val="00DF7353"/>
    <w:rsid w:val="00DF7AC2"/>
    <w:rsid w:val="00DF7B76"/>
    <w:rsid w:val="00E01739"/>
    <w:rsid w:val="00E01BE4"/>
    <w:rsid w:val="00E022A1"/>
    <w:rsid w:val="00E022DB"/>
    <w:rsid w:val="00E02419"/>
    <w:rsid w:val="00E02BE1"/>
    <w:rsid w:val="00E03E05"/>
    <w:rsid w:val="00E0440D"/>
    <w:rsid w:val="00E04537"/>
    <w:rsid w:val="00E07C68"/>
    <w:rsid w:val="00E07EF6"/>
    <w:rsid w:val="00E105FA"/>
    <w:rsid w:val="00E1101A"/>
    <w:rsid w:val="00E12718"/>
    <w:rsid w:val="00E132B9"/>
    <w:rsid w:val="00E143F8"/>
    <w:rsid w:val="00E14B42"/>
    <w:rsid w:val="00E1561D"/>
    <w:rsid w:val="00E167A9"/>
    <w:rsid w:val="00E17EFF"/>
    <w:rsid w:val="00E2297D"/>
    <w:rsid w:val="00E231E4"/>
    <w:rsid w:val="00E23251"/>
    <w:rsid w:val="00E23EB5"/>
    <w:rsid w:val="00E240F8"/>
    <w:rsid w:val="00E24583"/>
    <w:rsid w:val="00E24C78"/>
    <w:rsid w:val="00E252D9"/>
    <w:rsid w:val="00E255E2"/>
    <w:rsid w:val="00E269B1"/>
    <w:rsid w:val="00E26DB9"/>
    <w:rsid w:val="00E2738A"/>
    <w:rsid w:val="00E276B5"/>
    <w:rsid w:val="00E31251"/>
    <w:rsid w:val="00E31287"/>
    <w:rsid w:val="00E31492"/>
    <w:rsid w:val="00E325A8"/>
    <w:rsid w:val="00E32AB8"/>
    <w:rsid w:val="00E33AAE"/>
    <w:rsid w:val="00E34456"/>
    <w:rsid w:val="00E3521B"/>
    <w:rsid w:val="00E35C91"/>
    <w:rsid w:val="00E35DC4"/>
    <w:rsid w:val="00E362A6"/>
    <w:rsid w:val="00E36304"/>
    <w:rsid w:val="00E3766A"/>
    <w:rsid w:val="00E378D9"/>
    <w:rsid w:val="00E41FCF"/>
    <w:rsid w:val="00E42304"/>
    <w:rsid w:val="00E4241E"/>
    <w:rsid w:val="00E428A0"/>
    <w:rsid w:val="00E428AA"/>
    <w:rsid w:val="00E43358"/>
    <w:rsid w:val="00E44105"/>
    <w:rsid w:val="00E448F4"/>
    <w:rsid w:val="00E45CCC"/>
    <w:rsid w:val="00E45D33"/>
    <w:rsid w:val="00E46531"/>
    <w:rsid w:val="00E46BD5"/>
    <w:rsid w:val="00E47266"/>
    <w:rsid w:val="00E509C2"/>
    <w:rsid w:val="00E5190D"/>
    <w:rsid w:val="00E525FB"/>
    <w:rsid w:val="00E52F4F"/>
    <w:rsid w:val="00E53A45"/>
    <w:rsid w:val="00E540F0"/>
    <w:rsid w:val="00E547C5"/>
    <w:rsid w:val="00E54AC6"/>
    <w:rsid w:val="00E5664F"/>
    <w:rsid w:val="00E56C68"/>
    <w:rsid w:val="00E56D8A"/>
    <w:rsid w:val="00E60DF5"/>
    <w:rsid w:val="00E614E1"/>
    <w:rsid w:val="00E61628"/>
    <w:rsid w:val="00E6249A"/>
    <w:rsid w:val="00E63ADA"/>
    <w:rsid w:val="00E63BE5"/>
    <w:rsid w:val="00E64B8D"/>
    <w:rsid w:val="00E66292"/>
    <w:rsid w:val="00E66A95"/>
    <w:rsid w:val="00E6710F"/>
    <w:rsid w:val="00E67BF2"/>
    <w:rsid w:val="00E67E32"/>
    <w:rsid w:val="00E7056C"/>
    <w:rsid w:val="00E70F66"/>
    <w:rsid w:val="00E71307"/>
    <w:rsid w:val="00E72D2F"/>
    <w:rsid w:val="00E72F9E"/>
    <w:rsid w:val="00E746D2"/>
    <w:rsid w:val="00E750B4"/>
    <w:rsid w:val="00E755B5"/>
    <w:rsid w:val="00E7645D"/>
    <w:rsid w:val="00E7654B"/>
    <w:rsid w:val="00E76C87"/>
    <w:rsid w:val="00E76EC1"/>
    <w:rsid w:val="00E76EFA"/>
    <w:rsid w:val="00E77075"/>
    <w:rsid w:val="00E77B97"/>
    <w:rsid w:val="00E802FB"/>
    <w:rsid w:val="00E80976"/>
    <w:rsid w:val="00E81325"/>
    <w:rsid w:val="00E81504"/>
    <w:rsid w:val="00E821C3"/>
    <w:rsid w:val="00E82680"/>
    <w:rsid w:val="00E82B91"/>
    <w:rsid w:val="00E8506C"/>
    <w:rsid w:val="00E8628F"/>
    <w:rsid w:val="00E86367"/>
    <w:rsid w:val="00E864F6"/>
    <w:rsid w:val="00E86708"/>
    <w:rsid w:val="00E90BFE"/>
    <w:rsid w:val="00E9242C"/>
    <w:rsid w:val="00E93604"/>
    <w:rsid w:val="00E95D77"/>
    <w:rsid w:val="00E9627C"/>
    <w:rsid w:val="00EA0253"/>
    <w:rsid w:val="00EA148E"/>
    <w:rsid w:val="00EA1E93"/>
    <w:rsid w:val="00EA28D7"/>
    <w:rsid w:val="00EA4902"/>
    <w:rsid w:val="00EA52B0"/>
    <w:rsid w:val="00EA78FD"/>
    <w:rsid w:val="00EB0B90"/>
    <w:rsid w:val="00EB0DEC"/>
    <w:rsid w:val="00EB0F84"/>
    <w:rsid w:val="00EB1285"/>
    <w:rsid w:val="00EB1780"/>
    <w:rsid w:val="00EB2186"/>
    <w:rsid w:val="00EB2A04"/>
    <w:rsid w:val="00EB3354"/>
    <w:rsid w:val="00EB3371"/>
    <w:rsid w:val="00EB3636"/>
    <w:rsid w:val="00EB47BC"/>
    <w:rsid w:val="00EB4D99"/>
    <w:rsid w:val="00EB5645"/>
    <w:rsid w:val="00EB613C"/>
    <w:rsid w:val="00EB6856"/>
    <w:rsid w:val="00EB6E81"/>
    <w:rsid w:val="00EB747F"/>
    <w:rsid w:val="00EB7DC6"/>
    <w:rsid w:val="00EB7E50"/>
    <w:rsid w:val="00EC0EE0"/>
    <w:rsid w:val="00EC111F"/>
    <w:rsid w:val="00EC1C7C"/>
    <w:rsid w:val="00EC3063"/>
    <w:rsid w:val="00EC32E6"/>
    <w:rsid w:val="00EC3588"/>
    <w:rsid w:val="00EC3C2E"/>
    <w:rsid w:val="00EC4F29"/>
    <w:rsid w:val="00EC5469"/>
    <w:rsid w:val="00EC576D"/>
    <w:rsid w:val="00EC5E55"/>
    <w:rsid w:val="00ED045F"/>
    <w:rsid w:val="00ED06F3"/>
    <w:rsid w:val="00ED0712"/>
    <w:rsid w:val="00ED086A"/>
    <w:rsid w:val="00ED28C2"/>
    <w:rsid w:val="00ED2E6C"/>
    <w:rsid w:val="00ED4DF7"/>
    <w:rsid w:val="00ED5C78"/>
    <w:rsid w:val="00ED6018"/>
    <w:rsid w:val="00ED63FC"/>
    <w:rsid w:val="00ED7CD1"/>
    <w:rsid w:val="00EE09C4"/>
    <w:rsid w:val="00EE2989"/>
    <w:rsid w:val="00EE3393"/>
    <w:rsid w:val="00EE5C94"/>
    <w:rsid w:val="00EE5D34"/>
    <w:rsid w:val="00EE5F61"/>
    <w:rsid w:val="00EE69AA"/>
    <w:rsid w:val="00EE6E62"/>
    <w:rsid w:val="00EE7B62"/>
    <w:rsid w:val="00EE7D06"/>
    <w:rsid w:val="00EF2BDB"/>
    <w:rsid w:val="00EF377C"/>
    <w:rsid w:val="00EF38A5"/>
    <w:rsid w:val="00EF3DDD"/>
    <w:rsid w:val="00EF6211"/>
    <w:rsid w:val="00EF66C0"/>
    <w:rsid w:val="00EF7B97"/>
    <w:rsid w:val="00F00D73"/>
    <w:rsid w:val="00F0183C"/>
    <w:rsid w:val="00F01A69"/>
    <w:rsid w:val="00F01BD4"/>
    <w:rsid w:val="00F023A2"/>
    <w:rsid w:val="00F0247B"/>
    <w:rsid w:val="00F0366A"/>
    <w:rsid w:val="00F04388"/>
    <w:rsid w:val="00F0448C"/>
    <w:rsid w:val="00F056ED"/>
    <w:rsid w:val="00F05ED1"/>
    <w:rsid w:val="00F064B6"/>
    <w:rsid w:val="00F0658F"/>
    <w:rsid w:val="00F065DE"/>
    <w:rsid w:val="00F06AD4"/>
    <w:rsid w:val="00F06E69"/>
    <w:rsid w:val="00F07460"/>
    <w:rsid w:val="00F07E76"/>
    <w:rsid w:val="00F102A5"/>
    <w:rsid w:val="00F1122E"/>
    <w:rsid w:val="00F120A0"/>
    <w:rsid w:val="00F12951"/>
    <w:rsid w:val="00F12A16"/>
    <w:rsid w:val="00F13103"/>
    <w:rsid w:val="00F13227"/>
    <w:rsid w:val="00F14CF7"/>
    <w:rsid w:val="00F1563C"/>
    <w:rsid w:val="00F16130"/>
    <w:rsid w:val="00F16276"/>
    <w:rsid w:val="00F16361"/>
    <w:rsid w:val="00F17AE6"/>
    <w:rsid w:val="00F17EEE"/>
    <w:rsid w:val="00F223EE"/>
    <w:rsid w:val="00F22B0A"/>
    <w:rsid w:val="00F23AA7"/>
    <w:rsid w:val="00F2410B"/>
    <w:rsid w:val="00F24966"/>
    <w:rsid w:val="00F24AF6"/>
    <w:rsid w:val="00F257BA"/>
    <w:rsid w:val="00F26772"/>
    <w:rsid w:val="00F27A23"/>
    <w:rsid w:val="00F314C2"/>
    <w:rsid w:val="00F32380"/>
    <w:rsid w:val="00F32589"/>
    <w:rsid w:val="00F32ABE"/>
    <w:rsid w:val="00F354EF"/>
    <w:rsid w:val="00F3617A"/>
    <w:rsid w:val="00F37C7C"/>
    <w:rsid w:val="00F40E18"/>
    <w:rsid w:val="00F41CE8"/>
    <w:rsid w:val="00F429DF"/>
    <w:rsid w:val="00F42C10"/>
    <w:rsid w:val="00F432A0"/>
    <w:rsid w:val="00F43AA6"/>
    <w:rsid w:val="00F446BE"/>
    <w:rsid w:val="00F4495D"/>
    <w:rsid w:val="00F44DC3"/>
    <w:rsid w:val="00F45735"/>
    <w:rsid w:val="00F46AFD"/>
    <w:rsid w:val="00F46BD1"/>
    <w:rsid w:val="00F5051A"/>
    <w:rsid w:val="00F50D00"/>
    <w:rsid w:val="00F51619"/>
    <w:rsid w:val="00F51BBA"/>
    <w:rsid w:val="00F52744"/>
    <w:rsid w:val="00F5374F"/>
    <w:rsid w:val="00F54DA1"/>
    <w:rsid w:val="00F5602A"/>
    <w:rsid w:val="00F5622B"/>
    <w:rsid w:val="00F56625"/>
    <w:rsid w:val="00F5725A"/>
    <w:rsid w:val="00F60F8A"/>
    <w:rsid w:val="00F61E63"/>
    <w:rsid w:val="00F61F5D"/>
    <w:rsid w:val="00F62520"/>
    <w:rsid w:val="00F63392"/>
    <w:rsid w:val="00F64315"/>
    <w:rsid w:val="00F6487A"/>
    <w:rsid w:val="00F651CA"/>
    <w:rsid w:val="00F65235"/>
    <w:rsid w:val="00F70B05"/>
    <w:rsid w:val="00F7138E"/>
    <w:rsid w:val="00F7150C"/>
    <w:rsid w:val="00F71A38"/>
    <w:rsid w:val="00F71C39"/>
    <w:rsid w:val="00F7265D"/>
    <w:rsid w:val="00F73BFB"/>
    <w:rsid w:val="00F73E3C"/>
    <w:rsid w:val="00F7418D"/>
    <w:rsid w:val="00F74250"/>
    <w:rsid w:val="00F8002E"/>
    <w:rsid w:val="00F80598"/>
    <w:rsid w:val="00F80A14"/>
    <w:rsid w:val="00F80D36"/>
    <w:rsid w:val="00F82012"/>
    <w:rsid w:val="00F82F72"/>
    <w:rsid w:val="00F83619"/>
    <w:rsid w:val="00F83A55"/>
    <w:rsid w:val="00F85C6E"/>
    <w:rsid w:val="00F860BB"/>
    <w:rsid w:val="00F86DED"/>
    <w:rsid w:val="00F871B1"/>
    <w:rsid w:val="00F87C02"/>
    <w:rsid w:val="00F90AE8"/>
    <w:rsid w:val="00F90D79"/>
    <w:rsid w:val="00F90FFE"/>
    <w:rsid w:val="00F92859"/>
    <w:rsid w:val="00F9496D"/>
    <w:rsid w:val="00F95623"/>
    <w:rsid w:val="00F96316"/>
    <w:rsid w:val="00F97330"/>
    <w:rsid w:val="00F97E31"/>
    <w:rsid w:val="00FA03B4"/>
    <w:rsid w:val="00FA06C8"/>
    <w:rsid w:val="00FA0848"/>
    <w:rsid w:val="00FA27D5"/>
    <w:rsid w:val="00FA2B8C"/>
    <w:rsid w:val="00FA3945"/>
    <w:rsid w:val="00FA3EDD"/>
    <w:rsid w:val="00FA4324"/>
    <w:rsid w:val="00FA4734"/>
    <w:rsid w:val="00FA4DF4"/>
    <w:rsid w:val="00FA55FF"/>
    <w:rsid w:val="00FA64F1"/>
    <w:rsid w:val="00FA6FFA"/>
    <w:rsid w:val="00FA775E"/>
    <w:rsid w:val="00FB099C"/>
    <w:rsid w:val="00FB1450"/>
    <w:rsid w:val="00FB14E7"/>
    <w:rsid w:val="00FB2E4D"/>
    <w:rsid w:val="00FB3D51"/>
    <w:rsid w:val="00FB5D1C"/>
    <w:rsid w:val="00FB7050"/>
    <w:rsid w:val="00FB7502"/>
    <w:rsid w:val="00FB7A65"/>
    <w:rsid w:val="00FB7C24"/>
    <w:rsid w:val="00FC01F2"/>
    <w:rsid w:val="00FC1DD7"/>
    <w:rsid w:val="00FC3177"/>
    <w:rsid w:val="00FC630C"/>
    <w:rsid w:val="00FC759F"/>
    <w:rsid w:val="00FD155C"/>
    <w:rsid w:val="00FD1969"/>
    <w:rsid w:val="00FD2B08"/>
    <w:rsid w:val="00FD3E09"/>
    <w:rsid w:val="00FD4286"/>
    <w:rsid w:val="00FD5737"/>
    <w:rsid w:val="00FD5942"/>
    <w:rsid w:val="00FD5EAE"/>
    <w:rsid w:val="00FE0492"/>
    <w:rsid w:val="00FE0A62"/>
    <w:rsid w:val="00FE0E06"/>
    <w:rsid w:val="00FE2695"/>
    <w:rsid w:val="00FE30D1"/>
    <w:rsid w:val="00FE49FA"/>
    <w:rsid w:val="00FE4AEE"/>
    <w:rsid w:val="00FE77DE"/>
    <w:rsid w:val="00FE7F3A"/>
    <w:rsid w:val="00FF10AA"/>
    <w:rsid w:val="00FF1EC6"/>
    <w:rsid w:val="00FF2557"/>
    <w:rsid w:val="00FF3171"/>
    <w:rsid w:val="00FF34EB"/>
    <w:rsid w:val="00FF3865"/>
    <w:rsid w:val="00FF4C73"/>
    <w:rsid w:val="00FF5116"/>
    <w:rsid w:val="00FF67EC"/>
    <w:rsid w:val="00FF6952"/>
    <w:rsid w:val="00FF6C91"/>
    <w:rsid w:val="01133EA7"/>
    <w:rsid w:val="01290AB8"/>
    <w:rsid w:val="0186763B"/>
    <w:rsid w:val="019A3FBF"/>
    <w:rsid w:val="019B195C"/>
    <w:rsid w:val="01A25353"/>
    <w:rsid w:val="01AA32F0"/>
    <w:rsid w:val="020E14CE"/>
    <w:rsid w:val="02487046"/>
    <w:rsid w:val="027D1A41"/>
    <w:rsid w:val="028325F8"/>
    <w:rsid w:val="029956ED"/>
    <w:rsid w:val="02BA7230"/>
    <w:rsid w:val="02C83CE2"/>
    <w:rsid w:val="02DC5473"/>
    <w:rsid w:val="02E52B53"/>
    <w:rsid w:val="03073AAD"/>
    <w:rsid w:val="031533E6"/>
    <w:rsid w:val="033A191A"/>
    <w:rsid w:val="033F374F"/>
    <w:rsid w:val="034959EB"/>
    <w:rsid w:val="03696EAE"/>
    <w:rsid w:val="039807FC"/>
    <w:rsid w:val="039A6118"/>
    <w:rsid w:val="03BA1F74"/>
    <w:rsid w:val="03CA0376"/>
    <w:rsid w:val="03F300BF"/>
    <w:rsid w:val="041527E6"/>
    <w:rsid w:val="049461B1"/>
    <w:rsid w:val="049F1D3B"/>
    <w:rsid w:val="04DB68A3"/>
    <w:rsid w:val="053D1163"/>
    <w:rsid w:val="05845DD2"/>
    <w:rsid w:val="05885B54"/>
    <w:rsid w:val="064F5FBB"/>
    <w:rsid w:val="067031B4"/>
    <w:rsid w:val="06B9773D"/>
    <w:rsid w:val="06DD5A0B"/>
    <w:rsid w:val="07096A5A"/>
    <w:rsid w:val="070B75E4"/>
    <w:rsid w:val="07217A87"/>
    <w:rsid w:val="072B5DF4"/>
    <w:rsid w:val="072F2372"/>
    <w:rsid w:val="0768607A"/>
    <w:rsid w:val="07710999"/>
    <w:rsid w:val="079860ED"/>
    <w:rsid w:val="07BC532B"/>
    <w:rsid w:val="07CB16CF"/>
    <w:rsid w:val="07CF54F5"/>
    <w:rsid w:val="08474F39"/>
    <w:rsid w:val="085279B2"/>
    <w:rsid w:val="089B5E85"/>
    <w:rsid w:val="08D769E8"/>
    <w:rsid w:val="09D66DEC"/>
    <w:rsid w:val="0A0A2EDA"/>
    <w:rsid w:val="0A1B1240"/>
    <w:rsid w:val="0A5E12CB"/>
    <w:rsid w:val="0A775721"/>
    <w:rsid w:val="0AA15C92"/>
    <w:rsid w:val="0AD741AA"/>
    <w:rsid w:val="0B3501AB"/>
    <w:rsid w:val="0B367DDA"/>
    <w:rsid w:val="0B434696"/>
    <w:rsid w:val="0CA7326B"/>
    <w:rsid w:val="0D121DCA"/>
    <w:rsid w:val="0D58504D"/>
    <w:rsid w:val="0DFA6BC8"/>
    <w:rsid w:val="0E4A14C4"/>
    <w:rsid w:val="0E5F2316"/>
    <w:rsid w:val="0E675005"/>
    <w:rsid w:val="0E7072E2"/>
    <w:rsid w:val="0EA05ECF"/>
    <w:rsid w:val="0EB56C43"/>
    <w:rsid w:val="0EB7464D"/>
    <w:rsid w:val="0ECF6145"/>
    <w:rsid w:val="0ED84197"/>
    <w:rsid w:val="0EE51614"/>
    <w:rsid w:val="0F3D1DBA"/>
    <w:rsid w:val="0F4153C2"/>
    <w:rsid w:val="0F573D18"/>
    <w:rsid w:val="0F706D92"/>
    <w:rsid w:val="0F883432"/>
    <w:rsid w:val="0FA03FA9"/>
    <w:rsid w:val="0FB92B4D"/>
    <w:rsid w:val="0FC2595B"/>
    <w:rsid w:val="0FE5538F"/>
    <w:rsid w:val="10636C17"/>
    <w:rsid w:val="10676674"/>
    <w:rsid w:val="10F7616E"/>
    <w:rsid w:val="110436BA"/>
    <w:rsid w:val="110E038A"/>
    <w:rsid w:val="11293D61"/>
    <w:rsid w:val="116B13D4"/>
    <w:rsid w:val="119730DE"/>
    <w:rsid w:val="11CF1909"/>
    <w:rsid w:val="11DD347C"/>
    <w:rsid w:val="1206262D"/>
    <w:rsid w:val="12332142"/>
    <w:rsid w:val="12485D1D"/>
    <w:rsid w:val="12DD425C"/>
    <w:rsid w:val="13414827"/>
    <w:rsid w:val="13CA4502"/>
    <w:rsid w:val="13D41181"/>
    <w:rsid w:val="13EE4063"/>
    <w:rsid w:val="13FC6D9D"/>
    <w:rsid w:val="14552007"/>
    <w:rsid w:val="145D6356"/>
    <w:rsid w:val="14872CDF"/>
    <w:rsid w:val="14B17D3F"/>
    <w:rsid w:val="14C63E3F"/>
    <w:rsid w:val="15310834"/>
    <w:rsid w:val="15391A50"/>
    <w:rsid w:val="1564016D"/>
    <w:rsid w:val="156A34CC"/>
    <w:rsid w:val="15E10B85"/>
    <w:rsid w:val="16B8583D"/>
    <w:rsid w:val="16D34279"/>
    <w:rsid w:val="16DB365F"/>
    <w:rsid w:val="17056CCE"/>
    <w:rsid w:val="1746706E"/>
    <w:rsid w:val="17B841D1"/>
    <w:rsid w:val="17C94055"/>
    <w:rsid w:val="17D462F8"/>
    <w:rsid w:val="17DB0E13"/>
    <w:rsid w:val="18212725"/>
    <w:rsid w:val="1850710C"/>
    <w:rsid w:val="19534AC4"/>
    <w:rsid w:val="195E65C7"/>
    <w:rsid w:val="19AE589F"/>
    <w:rsid w:val="19B403A4"/>
    <w:rsid w:val="19CA0CB5"/>
    <w:rsid w:val="1A641255"/>
    <w:rsid w:val="1A754589"/>
    <w:rsid w:val="1AE45000"/>
    <w:rsid w:val="1AF04BDC"/>
    <w:rsid w:val="1AFC775C"/>
    <w:rsid w:val="1B4C38B2"/>
    <w:rsid w:val="1B901A03"/>
    <w:rsid w:val="1B943332"/>
    <w:rsid w:val="1BA95F99"/>
    <w:rsid w:val="1BD87769"/>
    <w:rsid w:val="1BF34088"/>
    <w:rsid w:val="1BFB34D7"/>
    <w:rsid w:val="1C1B7E5B"/>
    <w:rsid w:val="1C2A5637"/>
    <w:rsid w:val="1C7E4FB9"/>
    <w:rsid w:val="1C92449E"/>
    <w:rsid w:val="1D1D399E"/>
    <w:rsid w:val="1D7B1F97"/>
    <w:rsid w:val="1E1D4616"/>
    <w:rsid w:val="1E2131F2"/>
    <w:rsid w:val="1E4E6B2C"/>
    <w:rsid w:val="1E965993"/>
    <w:rsid w:val="1EF10434"/>
    <w:rsid w:val="1F092AC6"/>
    <w:rsid w:val="1F585EB2"/>
    <w:rsid w:val="1F771448"/>
    <w:rsid w:val="200A72D6"/>
    <w:rsid w:val="200B0D31"/>
    <w:rsid w:val="200D7D77"/>
    <w:rsid w:val="20310738"/>
    <w:rsid w:val="203318A4"/>
    <w:rsid w:val="20684D4F"/>
    <w:rsid w:val="20DC12FB"/>
    <w:rsid w:val="21305246"/>
    <w:rsid w:val="2171773B"/>
    <w:rsid w:val="21D55579"/>
    <w:rsid w:val="21EF5531"/>
    <w:rsid w:val="224763C3"/>
    <w:rsid w:val="22651BAA"/>
    <w:rsid w:val="229F603C"/>
    <w:rsid w:val="22E27A8C"/>
    <w:rsid w:val="22F03CE6"/>
    <w:rsid w:val="22F64922"/>
    <w:rsid w:val="234D25F6"/>
    <w:rsid w:val="235143C0"/>
    <w:rsid w:val="236C7B3C"/>
    <w:rsid w:val="23800F0D"/>
    <w:rsid w:val="239B617D"/>
    <w:rsid w:val="23A87AF4"/>
    <w:rsid w:val="23AB33C0"/>
    <w:rsid w:val="23E41DEC"/>
    <w:rsid w:val="24063996"/>
    <w:rsid w:val="246B054F"/>
    <w:rsid w:val="248030E8"/>
    <w:rsid w:val="24834A8F"/>
    <w:rsid w:val="24AF2113"/>
    <w:rsid w:val="24D577A3"/>
    <w:rsid w:val="24EB7F83"/>
    <w:rsid w:val="252D5C04"/>
    <w:rsid w:val="258A78B6"/>
    <w:rsid w:val="2597309D"/>
    <w:rsid w:val="25CA5CB6"/>
    <w:rsid w:val="25FE6124"/>
    <w:rsid w:val="26145717"/>
    <w:rsid w:val="261F031F"/>
    <w:rsid w:val="267B24AC"/>
    <w:rsid w:val="26862BA9"/>
    <w:rsid w:val="26984681"/>
    <w:rsid w:val="26B8542B"/>
    <w:rsid w:val="26C073FB"/>
    <w:rsid w:val="26F75D2F"/>
    <w:rsid w:val="2708173D"/>
    <w:rsid w:val="2753465B"/>
    <w:rsid w:val="275C65A5"/>
    <w:rsid w:val="276526D2"/>
    <w:rsid w:val="276A1E4B"/>
    <w:rsid w:val="27B77867"/>
    <w:rsid w:val="28123C3E"/>
    <w:rsid w:val="28A97178"/>
    <w:rsid w:val="28B1756C"/>
    <w:rsid w:val="28DD7643"/>
    <w:rsid w:val="292468C6"/>
    <w:rsid w:val="29814BC5"/>
    <w:rsid w:val="2A3E05A7"/>
    <w:rsid w:val="2A7B1C6B"/>
    <w:rsid w:val="2B140BA2"/>
    <w:rsid w:val="2BB21615"/>
    <w:rsid w:val="2BC462FE"/>
    <w:rsid w:val="2BEF471C"/>
    <w:rsid w:val="2BFC6C8F"/>
    <w:rsid w:val="2C13218E"/>
    <w:rsid w:val="2C163750"/>
    <w:rsid w:val="2C677F8C"/>
    <w:rsid w:val="2D2C69C3"/>
    <w:rsid w:val="2D765AC5"/>
    <w:rsid w:val="2D84700F"/>
    <w:rsid w:val="2DBD6260"/>
    <w:rsid w:val="2E3621E7"/>
    <w:rsid w:val="2E3B1C5C"/>
    <w:rsid w:val="2E530E1C"/>
    <w:rsid w:val="2E6600D5"/>
    <w:rsid w:val="2F2011FF"/>
    <w:rsid w:val="2F3548E7"/>
    <w:rsid w:val="2F805F8D"/>
    <w:rsid w:val="2FC92FFF"/>
    <w:rsid w:val="2FEF4963"/>
    <w:rsid w:val="307C5A3D"/>
    <w:rsid w:val="30B5282C"/>
    <w:rsid w:val="30BA49AC"/>
    <w:rsid w:val="30E15F5D"/>
    <w:rsid w:val="30EF22D5"/>
    <w:rsid w:val="30FC215A"/>
    <w:rsid w:val="312F555D"/>
    <w:rsid w:val="313069D4"/>
    <w:rsid w:val="31C20025"/>
    <w:rsid w:val="31F12B9C"/>
    <w:rsid w:val="32056696"/>
    <w:rsid w:val="32405813"/>
    <w:rsid w:val="324E689D"/>
    <w:rsid w:val="32C83317"/>
    <w:rsid w:val="32C8331E"/>
    <w:rsid w:val="3313556E"/>
    <w:rsid w:val="335473EA"/>
    <w:rsid w:val="33C85BD9"/>
    <w:rsid w:val="33FF5222"/>
    <w:rsid w:val="342055FD"/>
    <w:rsid w:val="3421641A"/>
    <w:rsid w:val="3422718C"/>
    <w:rsid w:val="34331304"/>
    <w:rsid w:val="34523EDF"/>
    <w:rsid w:val="3463708B"/>
    <w:rsid w:val="34DF51DD"/>
    <w:rsid w:val="356E7515"/>
    <w:rsid w:val="35850C54"/>
    <w:rsid w:val="35AF0472"/>
    <w:rsid w:val="35CE13A2"/>
    <w:rsid w:val="36004F8E"/>
    <w:rsid w:val="360056E3"/>
    <w:rsid w:val="362E0EA3"/>
    <w:rsid w:val="3630043D"/>
    <w:rsid w:val="36387BCC"/>
    <w:rsid w:val="363B3A1E"/>
    <w:rsid w:val="3645182F"/>
    <w:rsid w:val="36C01D1D"/>
    <w:rsid w:val="36DE042B"/>
    <w:rsid w:val="37032CC8"/>
    <w:rsid w:val="37743E72"/>
    <w:rsid w:val="37F37972"/>
    <w:rsid w:val="382622A4"/>
    <w:rsid w:val="382E0826"/>
    <w:rsid w:val="38432BE8"/>
    <w:rsid w:val="384E2E67"/>
    <w:rsid w:val="385B25B1"/>
    <w:rsid w:val="387D3E71"/>
    <w:rsid w:val="38E77604"/>
    <w:rsid w:val="39245B7B"/>
    <w:rsid w:val="39603E31"/>
    <w:rsid w:val="39762911"/>
    <w:rsid w:val="399E28C4"/>
    <w:rsid w:val="3A024A20"/>
    <w:rsid w:val="3A0556D5"/>
    <w:rsid w:val="3A2A3953"/>
    <w:rsid w:val="3A5D14CE"/>
    <w:rsid w:val="3A8B3069"/>
    <w:rsid w:val="3AAD243C"/>
    <w:rsid w:val="3AF475E9"/>
    <w:rsid w:val="3AFA5B43"/>
    <w:rsid w:val="3B497893"/>
    <w:rsid w:val="3B527A79"/>
    <w:rsid w:val="3B777732"/>
    <w:rsid w:val="3B880692"/>
    <w:rsid w:val="3BB54F52"/>
    <w:rsid w:val="3C123AC7"/>
    <w:rsid w:val="3C731F75"/>
    <w:rsid w:val="3C8537AF"/>
    <w:rsid w:val="3C8F4364"/>
    <w:rsid w:val="3CC3181E"/>
    <w:rsid w:val="3D0A5B38"/>
    <w:rsid w:val="3D201734"/>
    <w:rsid w:val="3D2515F0"/>
    <w:rsid w:val="3D32316B"/>
    <w:rsid w:val="3D417B59"/>
    <w:rsid w:val="3D700AA9"/>
    <w:rsid w:val="3D7F54C5"/>
    <w:rsid w:val="3DA45FB1"/>
    <w:rsid w:val="3E0537DF"/>
    <w:rsid w:val="3E0F4EDF"/>
    <w:rsid w:val="3E75366D"/>
    <w:rsid w:val="3F26645C"/>
    <w:rsid w:val="3F31451B"/>
    <w:rsid w:val="3F87383D"/>
    <w:rsid w:val="3F8F7CDE"/>
    <w:rsid w:val="3F971B8F"/>
    <w:rsid w:val="3FAA7DA7"/>
    <w:rsid w:val="3FE649D3"/>
    <w:rsid w:val="40050473"/>
    <w:rsid w:val="405C55F8"/>
    <w:rsid w:val="40B4592B"/>
    <w:rsid w:val="40F83571"/>
    <w:rsid w:val="41274F0E"/>
    <w:rsid w:val="416E08F9"/>
    <w:rsid w:val="41C51C99"/>
    <w:rsid w:val="41F30988"/>
    <w:rsid w:val="422140BB"/>
    <w:rsid w:val="4230527E"/>
    <w:rsid w:val="428B085A"/>
    <w:rsid w:val="42BF2026"/>
    <w:rsid w:val="42DC4CD8"/>
    <w:rsid w:val="42ED6B32"/>
    <w:rsid w:val="430B272E"/>
    <w:rsid w:val="432B0388"/>
    <w:rsid w:val="43743AB3"/>
    <w:rsid w:val="43766B3E"/>
    <w:rsid w:val="43773E8D"/>
    <w:rsid w:val="43CE46AE"/>
    <w:rsid w:val="442C5032"/>
    <w:rsid w:val="445F6507"/>
    <w:rsid w:val="449323EF"/>
    <w:rsid w:val="44A06302"/>
    <w:rsid w:val="44D87F51"/>
    <w:rsid w:val="453C5D2F"/>
    <w:rsid w:val="45503B0F"/>
    <w:rsid w:val="45A32629"/>
    <w:rsid w:val="45A978E7"/>
    <w:rsid w:val="45AF4443"/>
    <w:rsid w:val="45BE5CF8"/>
    <w:rsid w:val="46372256"/>
    <w:rsid w:val="465C6B8D"/>
    <w:rsid w:val="467A2307"/>
    <w:rsid w:val="467C5F9D"/>
    <w:rsid w:val="467E1B6A"/>
    <w:rsid w:val="46B36748"/>
    <w:rsid w:val="46D42DD8"/>
    <w:rsid w:val="46E41B00"/>
    <w:rsid w:val="47055537"/>
    <w:rsid w:val="47085ACF"/>
    <w:rsid w:val="47344232"/>
    <w:rsid w:val="474322F8"/>
    <w:rsid w:val="475061C3"/>
    <w:rsid w:val="47847518"/>
    <w:rsid w:val="479F779A"/>
    <w:rsid w:val="47BB7F8A"/>
    <w:rsid w:val="481B0947"/>
    <w:rsid w:val="48712D0D"/>
    <w:rsid w:val="48C40CB6"/>
    <w:rsid w:val="496111AE"/>
    <w:rsid w:val="4963057E"/>
    <w:rsid w:val="49CF4C6B"/>
    <w:rsid w:val="49FB04CB"/>
    <w:rsid w:val="4A1C0065"/>
    <w:rsid w:val="4AAD0A25"/>
    <w:rsid w:val="4AB36D42"/>
    <w:rsid w:val="4ABA25DB"/>
    <w:rsid w:val="4B033B85"/>
    <w:rsid w:val="4B2107AC"/>
    <w:rsid w:val="4B7A2CDE"/>
    <w:rsid w:val="4B825E5B"/>
    <w:rsid w:val="4BAA7317"/>
    <w:rsid w:val="4BE16BFB"/>
    <w:rsid w:val="4BEE1020"/>
    <w:rsid w:val="4C5A0D09"/>
    <w:rsid w:val="4C8241BE"/>
    <w:rsid w:val="4C8F6C39"/>
    <w:rsid w:val="4CCB0C29"/>
    <w:rsid w:val="4CD66EE0"/>
    <w:rsid w:val="4CE84FE5"/>
    <w:rsid w:val="4CF4608E"/>
    <w:rsid w:val="4D070E52"/>
    <w:rsid w:val="4D4F2670"/>
    <w:rsid w:val="4D701F49"/>
    <w:rsid w:val="4D707300"/>
    <w:rsid w:val="4D8C7C4A"/>
    <w:rsid w:val="4D8E17B5"/>
    <w:rsid w:val="4DA34C1A"/>
    <w:rsid w:val="4E206B9D"/>
    <w:rsid w:val="4E613D77"/>
    <w:rsid w:val="4E686CC4"/>
    <w:rsid w:val="4E6C191A"/>
    <w:rsid w:val="4E735A68"/>
    <w:rsid w:val="4EA03BEE"/>
    <w:rsid w:val="4EFB4D1F"/>
    <w:rsid w:val="4F0B31B8"/>
    <w:rsid w:val="4F5675C2"/>
    <w:rsid w:val="4F6E3E10"/>
    <w:rsid w:val="4FBC4EBA"/>
    <w:rsid w:val="4FE247F9"/>
    <w:rsid w:val="4FF9154D"/>
    <w:rsid w:val="505225E1"/>
    <w:rsid w:val="508360D4"/>
    <w:rsid w:val="50C448B9"/>
    <w:rsid w:val="50D2665E"/>
    <w:rsid w:val="50E776EE"/>
    <w:rsid w:val="510308CE"/>
    <w:rsid w:val="51502B11"/>
    <w:rsid w:val="51DC0AB4"/>
    <w:rsid w:val="51E24D5A"/>
    <w:rsid w:val="520D2460"/>
    <w:rsid w:val="52AB3E69"/>
    <w:rsid w:val="52C4084E"/>
    <w:rsid w:val="52C4562A"/>
    <w:rsid w:val="52D03B5B"/>
    <w:rsid w:val="535F248A"/>
    <w:rsid w:val="537C73BE"/>
    <w:rsid w:val="539626C6"/>
    <w:rsid w:val="539858BC"/>
    <w:rsid w:val="53B021F3"/>
    <w:rsid w:val="54077B6B"/>
    <w:rsid w:val="541D1254"/>
    <w:rsid w:val="54657F16"/>
    <w:rsid w:val="546836ED"/>
    <w:rsid w:val="54714F20"/>
    <w:rsid w:val="54900438"/>
    <w:rsid w:val="550268F6"/>
    <w:rsid w:val="55221B0C"/>
    <w:rsid w:val="55364758"/>
    <w:rsid w:val="55596EEC"/>
    <w:rsid w:val="555E34D2"/>
    <w:rsid w:val="556152A7"/>
    <w:rsid w:val="5578268A"/>
    <w:rsid w:val="55827FE8"/>
    <w:rsid w:val="558F78F0"/>
    <w:rsid w:val="55AC4F5A"/>
    <w:rsid w:val="55B71EE3"/>
    <w:rsid w:val="55C5766A"/>
    <w:rsid w:val="55C70245"/>
    <w:rsid w:val="55F53990"/>
    <w:rsid w:val="560967CD"/>
    <w:rsid w:val="56280984"/>
    <w:rsid w:val="56A20ED8"/>
    <w:rsid w:val="56D32A40"/>
    <w:rsid w:val="5701487F"/>
    <w:rsid w:val="573878CE"/>
    <w:rsid w:val="57504936"/>
    <w:rsid w:val="5757355F"/>
    <w:rsid w:val="57BC3E74"/>
    <w:rsid w:val="57CF4F24"/>
    <w:rsid w:val="582C0510"/>
    <w:rsid w:val="589F2C65"/>
    <w:rsid w:val="58B45224"/>
    <w:rsid w:val="590A0F7A"/>
    <w:rsid w:val="59317594"/>
    <w:rsid w:val="5A0D6BB4"/>
    <w:rsid w:val="5A1233CE"/>
    <w:rsid w:val="5A5A4C75"/>
    <w:rsid w:val="5A6907FA"/>
    <w:rsid w:val="5AE574C0"/>
    <w:rsid w:val="5AE7641E"/>
    <w:rsid w:val="5B244A60"/>
    <w:rsid w:val="5B4004CC"/>
    <w:rsid w:val="5B426818"/>
    <w:rsid w:val="5B957F01"/>
    <w:rsid w:val="5BA21236"/>
    <w:rsid w:val="5BAB30FC"/>
    <w:rsid w:val="5BB8639A"/>
    <w:rsid w:val="5BD521CD"/>
    <w:rsid w:val="5BE040DC"/>
    <w:rsid w:val="5C0D237C"/>
    <w:rsid w:val="5C2657E7"/>
    <w:rsid w:val="5C6A4750"/>
    <w:rsid w:val="5C72497E"/>
    <w:rsid w:val="5C865C56"/>
    <w:rsid w:val="5D290847"/>
    <w:rsid w:val="5D6970A1"/>
    <w:rsid w:val="5D802F8C"/>
    <w:rsid w:val="5DD4595A"/>
    <w:rsid w:val="5DE60B21"/>
    <w:rsid w:val="5E28464D"/>
    <w:rsid w:val="5EC6156B"/>
    <w:rsid w:val="5ED04FB8"/>
    <w:rsid w:val="5EFC6966"/>
    <w:rsid w:val="5F3D182E"/>
    <w:rsid w:val="5F596C79"/>
    <w:rsid w:val="5F8B4F6C"/>
    <w:rsid w:val="5FA40C3F"/>
    <w:rsid w:val="5FA76EE2"/>
    <w:rsid w:val="5FF0752F"/>
    <w:rsid w:val="60070CDF"/>
    <w:rsid w:val="601E3152"/>
    <w:rsid w:val="619D119C"/>
    <w:rsid w:val="61A70B04"/>
    <w:rsid w:val="61F8312E"/>
    <w:rsid w:val="623C5FA4"/>
    <w:rsid w:val="6274190B"/>
    <w:rsid w:val="62BC1E31"/>
    <w:rsid w:val="62C837E3"/>
    <w:rsid w:val="62E7006A"/>
    <w:rsid w:val="62E83FDD"/>
    <w:rsid w:val="634D5A29"/>
    <w:rsid w:val="6357611A"/>
    <w:rsid w:val="635E5324"/>
    <w:rsid w:val="636C0AA4"/>
    <w:rsid w:val="639403EB"/>
    <w:rsid w:val="63B62565"/>
    <w:rsid w:val="63B872FD"/>
    <w:rsid w:val="63BA5D76"/>
    <w:rsid w:val="63DA12BC"/>
    <w:rsid w:val="640E0CF5"/>
    <w:rsid w:val="64180362"/>
    <w:rsid w:val="64516D94"/>
    <w:rsid w:val="646E7057"/>
    <w:rsid w:val="647E21B2"/>
    <w:rsid w:val="649B3792"/>
    <w:rsid w:val="64A758B4"/>
    <w:rsid w:val="64D53189"/>
    <w:rsid w:val="651732DF"/>
    <w:rsid w:val="65287CF9"/>
    <w:rsid w:val="656F3E58"/>
    <w:rsid w:val="659216CF"/>
    <w:rsid w:val="65A270FA"/>
    <w:rsid w:val="66005BC6"/>
    <w:rsid w:val="66495035"/>
    <w:rsid w:val="66EC3CB9"/>
    <w:rsid w:val="6744409E"/>
    <w:rsid w:val="67C520EA"/>
    <w:rsid w:val="67D6087F"/>
    <w:rsid w:val="681F3DEB"/>
    <w:rsid w:val="689B34CE"/>
    <w:rsid w:val="689D5A50"/>
    <w:rsid w:val="68AF7E6F"/>
    <w:rsid w:val="68B12A84"/>
    <w:rsid w:val="68D6389C"/>
    <w:rsid w:val="6978675F"/>
    <w:rsid w:val="69867D96"/>
    <w:rsid w:val="6990547E"/>
    <w:rsid w:val="69A41ADD"/>
    <w:rsid w:val="6A0E1AC6"/>
    <w:rsid w:val="6A2F31D3"/>
    <w:rsid w:val="6A3068A3"/>
    <w:rsid w:val="6A523383"/>
    <w:rsid w:val="6A69355F"/>
    <w:rsid w:val="6A777E40"/>
    <w:rsid w:val="6A8F757F"/>
    <w:rsid w:val="6AAF1D2F"/>
    <w:rsid w:val="6AD31AA5"/>
    <w:rsid w:val="6B4A492F"/>
    <w:rsid w:val="6B7F51C6"/>
    <w:rsid w:val="6C051B72"/>
    <w:rsid w:val="6C136C95"/>
    <w:rsid w:val="6C3A3614"/>
    <w:rsid w:val="6C49596E"/>
    <w:rsid w:val="6CAD5687"/>
    <w:rsid w:val="6D1B1B4A"/>
    <w:rsid w:val="6D3E5B07"/>
    <w:rsid w:val="6D7C6359"/>
    <w:rsid w:val="6DBD0D54"/>
    <w:rsid w:val="6E09095E"/>
    <w:rsid w:val="6E0A5576"/>
    <w:rsid w:val="6E137F15"/>
    <w:rsid w:val="6E165458"/>
    <w:rsid w:val="6E456791"/>
    <w:rsid w:val="6E6F016D"/>
    <w:rsid w:val="6E6F28EF"/>
    <w:rsid w:val="6E736BF2"/>
    <w:rsid w:val="6ECC59B5"/>
    <w:rsid w:val="6F073264"/>
    <w:rsid w:val="6F476886"/>
    <w:rsid w:val="6F832075"/>
    <w:rsid w:val="6F914731"/>
    <w:rsid w:val="6FED4933"/>
    <w:rsid w:val="702A4A0D"/>
    <w:rsid w:val="70786ACD"/>
    <w:rsid w:val="708C37D6"/>
    <w:rsid w:val="70B2750B"/>
    <w:rsid w:val="712867A2"/>
    <w:rsid w:val="7174571B"/>
    <w:rsid w:val="717B217D"/>
    <w:rsid w:val="71E00B0B"/>
    <w:rsid w:val="71E65B1E"/>
    <w:rsid w:val="72056567"/>
    <w:rsid w:val="722419CC"/>
    <w:rsid w:val="72583D9E"/>
    <w:rsid w:val="728A64C3"/>
    <w:rsid w:val="7342437E"/>
    <w:rsid w:val="734575B6"/>
    <w:rsid w:val="734A33C1"/>
    <w:rsid w:val="734F33BA"/>
    <w:rsid w:val="73C34D28"/>
    <w:rsid w:val="73D64AC8"/>
    <w:rsid w:val="73D72C23"/>
    <w:rsid w:val="73E01B42"/>
    <w:rsid w:val="740642B3"/>
    <w:rsid w:val="74684DDA"/>
    <w:rsid w:val="74924CC7"/>
    <w:rsid w:val="74A34BF4"/>
    <w:rsid w:val="74FA18A8"/>
    <w:rsid w:val="750A4DB8"/>
    <w:rsid w:val="757C6E4F"/>
    <w:rsid w:val="75924C86"/>
    <w:rsid w:val="75A96777"/>
    <w:rsid w:val="75B4046D"/>
    <w:rsid w:val="75C33AE1"/>
    <w:rsid w:val="75D8760C"/>
    <w:rsid w:val="75F421AB"/>
    <w:rsid w:val="75F83A68"/>
    <w:rsid w:val="76477825"/>
    <w:rsid w:val="7665699E"/>
    <w:rsid w:val="76A52037"/>
    <w:rsid w:val="76B72B8E"/>
    <w:rsid w:val="76B9643E"/>
    <w:rsid w:val="76FC3374"/>
    <w:rsid w:val="77ED00C8"/>
    <w:rsid w:val="78656D1B"/>
    <w:rsid w:val="789B4145"/>
    <w:rsid w:val="78C079FC"/>
    <w:rsid w:val="78C25295"/>
    <w:rsid w:val="78CB7F3F"/>
    <w:rsid w:val="791459A5"/>
    <w:rsid w:val="792A45D1"/>
    <w:rsid w:val="7959491F"/>
    <w:rsid w:val="795D04CE"/>
    <w:rsid w:val="7969230D"/>
    <w:rsid w:val="797B5080"/>
    <w:rsid w:val="79B829B1"/>
    <w:rsid w:val="79D936B8"/>
    <w:rsid w:val="79DD4C0A"/>
    <w:rsid w:val="7A0C7B93"/>
    <w:rsid w:val="7AE5501B"/>
    <w:rsid w:val="7B0936ED"/>
    <w:rsid w:val="7B093745"/>
    <w:rsid w:val="7B3872C5"/>
    <w:rsid w:val="7B3F264D"/>
    <w:rsid w:val="7B4C0B43"/>
    <w:rsid w:val="7B5111B9"/>
    <w:rsid w:val="7B991BF1"/>
    <w:rsid w:val="7BE641B3"/>
    <w:rsid w:val="7BEE130A"/>
    <w:rsid w:val="7C0B526E"/>
    <w:rsid w:val="7C1025D7"/>
    <w:rsid w:val="7C874AB1"/>
    <w:rsid w:val="7CF00D5E"/>
    <w:rsid w:val="7CF50394"/>
    <w:rsid w:val="7D2A765D"/>
    <w:rsid w:val="7D2D45C4"/>
    <w:rsid w:val="7D612019"/>
    <w:rsid w:val="7D6A0686"/>
    <w:rsid w:val="7D733EE8"/>
    <w:rsid w:val="7D860963"/>
    <w:rsid w:val="7D9135FA"/>
    <w:rsid w:val="7E0E65F1"/>
    <w:rsid w:val="7E147B91"/>
    <w:rsid w:val="7E2847A7"/>
    <w:rsid w:val="7E2D5C36"/>
    <w:rsid w:val="7E2F09F3"/>
    <w:rsid w:val="7E2F788E"/>
    <w:rsid w:val="7E886A8A"/>
    <w:rsid w:val="7EFC7B06"/>
    <w:rsid w:val="7F0025CB"/>
    <w:rsid w:val="7F0A2F94"/>
    <w:rsid w:val="7F441F69"/>
    <w:rsid w:val="7FC101C5"/>
    <w:rsid w:val="7FC6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before="100" w:beforeAutospacing="1"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
    <w:pPr>
      <w:keepNext/>
      <w:keepLines/>
      <w:spacing w:beforeAutospacing="0" w:line="360" w:lineRule="auto"/>
      <w:outlineLvl w:val="0"/>
    </w:pPr>
    <w:rPr>
      <w:b/>
      <w:kern w:val="44"/>
      <w:sz w:val="28"/>
    </w:rPr>
  </w:style>
  <w:style w:type="paragraph" w:styleId="3">
    <w:name w:val="heading 2"/>
    <w:basedOn w:val="1"/>
    <w:next w:val="1"/>
    <w:link w:val="24"/>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tLeast"/>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Balloon Text"/>
    <w:basedOn w:val="1"/>
    <w:link w:val="20"/>
    <w:unhideWhenUsed/>
    <w:qFormat/>
    <w:uiPriority w:val="99"/>
    <w:pPr>
      <w:spacing w:before="0"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5"/>
    <w:next w:val="5"/>
    <w:link w:val="27"/>
    <w:semiHidden/>
    <w:unhideWhenUsed/>
    <w:qFormat/>
    <w:uiPriority w:val="99"/>
    <w:rPr>
      <w:b/>
      <w:bCs/>
    </w:rPr>
  </w:style>
  <w:style w:type="table" w:styleId="14">
    <w:name w:val="Table Grid"/>
    <w:basedOn w:val="13"/>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paragraph" w:customStyle="1" w:styleId="18">
    <w:name w:val="标准文件_段"/>
    <w:basedOn w:val="1"/>
    <w:qFormat/>
    <w:uiPriority w:val="0"/>
    <w:pPr>
      <w:adjustRightInd/>
      <w:spacing w:line="240" w:lineRule="auto"/>
      <w:ind w:firstLine="198" w:firstLineChars="200"/>
    </w:pPr>
    <w:rPr>
      <w:rFonts w:ascii="宋体" w:hAnsi="宋体"/>
    </w:rPr>
  </w:style>
  <w:style w:type="paragraph" w:customStyle="1" w:styleId="19">
    <w:name w:val="标准称谓"/>
    <w:basedOn w:val="1"/>
    <w:next w:val="1"/>
    <w:qFormat/>
    <w:uiPriority w:val="0"/>
    <w:pPr>
      <w:kinsoku w:val="0"/>
      <w:overflowPunct w:val="0"/>
      <w:autoSpaceDE w:val="0"/>
      <w:autoSpaceDN w:val="0"/>
      <w:adjustRightInd/>
      <w:spacing w:line="0" w:lineRule="atLeast"/>
      <w:jc w:val="distribute"/>
    </w:pPr>
    <w:rPr>
      <w:rFonts w:ascii="宋体" w:hAnsi="Times New Roman"/>
      <w:b/>
      <w:bCs/>
      <w:kern w:val="0"/>
      <w:sz w:val="52"/>
      <w:szCs w:val="52"/>
    </w:rPr>
  </w:style>
  <w:style w:type="character" w:customStyle="1" w:styleId="20">
    <w:name w:val="批注框文本 Char"/>
    <w:basedOn w:val="15"/>
    <w:link w:val="7"/>
    <w:semiHidden/>
    <w:qFormat/>
    <w:uiPriority w:val="99"/>
    <w:rPr>
      <w:rFonts w:ascii="Calibri" w:hAnsi="Calibri" w:eastAsia="宋体" w:cs="Times New Roman"/>
      <w:sz w:val="18"/>
      <w:szCs w:val="18"/>
    </w:rPr>
  </w:style>
  <w:style w:type="paragraph" w:customStyle="1" w:styleId="21">
    <w:name w:val="列出段落1"/>
    <w:basedOn w:val="1"/>
    <w:qFormat/>
    <w:uiPriority w:val="34"/>
    <w:pPr>
      <w:widowControl/>
      <w:adjustRightInd/>
      <w:spacing w:before="0" w:beforeAutospacing="0" w:line="240" w:lineRule="auto"/>
      <w:ind w:firstLine="420" w:firstLineChars="200"/>
      <w:jc w:val="left"/>
    </w:pPr>
    <w:rPr>
      <w:rFonts w:ascii="宋体" w:hAnsi="宋体" w:cs="宋体"/>
      <w:kern w:val="0"/>
      <w:sz w:val="24"/>
      <w:szCs w:val="24"/>
    </w:rPr>
  </w:style>
  <w:style w:type="character" w:customStyle="1" w:styleId="22">
    <w:name w:val="页眉 Char"/>
    <w:basedOn w:val="15"/>
    <w:link w:val="9"/>
    <w:qFormat/>
    <w:uiPriority w:val="99"/>
    <w:rPr>
      <w:rFonts w:ascii="Calibri" w:hAnsi="Calibri" w:eastAsia="宋体" w:cs="Times New Roman"/>
      <w:kern w:val="2"/>
      <w:sz w:val="18"/>
      <w:szCs w:val="18"/>
    </w:rPr>
  </w:style>
  <w:style w:type="character" w:customStyle="1" w:styleId="23">
    <w:name w:val="页脚 Char"/>
    <w:basedOn w:val="15"/>
    <w:link w:val="8"/>
    <w:qFormat/>
    <w:uiPriority w:val="99"/>
    <w:rPr>
      <w:rFonts w:ascii="Calibri" w:hAnsi="Calibri" w:eastAsia="宋体" w:cs="Times New Roman"/>
      <w:kern w:val="2"/>
      <w:sz w:val="18"/>
      <w:szCs w:val="18"/>
    </w:rPr>
  </w:style>
  <w:style w:type="character" w:customStyle="1" w:styleId="24">
    <w:name w:val="标题 2 Char"/>
    <w:basedOn w:val="15"/>
    <w:link w:val="3"/>
    <w:qFormat/>
    <w:uiPriority w:val="9"/>
    <w:rPr>
      <w:rFonts w:asciiTheme="majorHAnsi" w:hAnsiTheme="majorHAnsi" w:eastAsiaTheme="majorEastAsia" w:cstheme="majorBidi"/>
      <w:b/>
      <w:bCs/>
      <w:kern w:val="2"/>
      <w:sz w:val="32"/>
      <w:szCs w:val="32"/>
    </w:rPr>
  </w:style>
  <w:style w:type="paragraph" w:styleId="25">
    <w:name w:val="List Paragraph"/>
    <w:basedOn w:val="1"/>
    <w:qFormat/>
    <w:uiPriority w:val="99"/>
    <w:pPr>
      <w:ind w:firstLine="420" w:firstLineChars="200"/>
    </w:pPr>
  </w:style>
  <w:style w:type="character" w:customStyle="1" w:styleId="26">
    <w:name w:val="批注文字 Char"/>
    <w:basedOn w:val="15"/>
    <w:link w:val="5"/>
    <w:semiHidden/>
    <w:qFormat/>
    <w:uiPriority w:val="99"/>
    <w:rPr>
      <w:rFonts w:ascii="Calibri" w:hAnsi="Calibri" w:eastAsia="宋体" w:cs="Times New Roman"/>
      <w:kern w:val="2"/>
      <w:sz w:val="21"/>
      <w:szCs w:val="21"/>
    </w:rPr>
  </w:style>
  <w:style w:type="character" w:customStyle="1" w:styleId="27">
    <w:name w:val="批注主题 Char"/>
    <w:basedOn w:val="26"/>
    <w:link w:val="12"/>
    <w:semiHidden/>
    <w:qFormat/>
    <w:uiPriority w:val="99"/>
    <w:rPr>
      <w:rFonts w:ascii="Calibri" w:hAnsi="Calibri" w:eastAsia="宋体" w:cs="Times New Roman"/>
      <w:b/>
      <w:bCs/>
      <w:kern w:val="2"/>
      <w:sz w:val="21"/>
      <w:szCs w:val="21"/>
    </w:rPr>
  </w:style>
  <w:style w:type="character" w:customStyle="1" w:styleId="28">
    <w:name w:val="font11"/>
    <w:basedOn w:val="15"/>
    <w:qFormat/>
    <w:uiPriority w:val="0"/>
    <w:rPr>
      <w:rFonts w:hint="default" w:ascii="Times New Roman" w:hAnsi="Times New Roman" w:cs="Times New Roman"/>
      <w:color w:val="000000"/>
      <w:sz w:val="24"/>
      <w:szCs w:val="24"/>
      <w:u w:val="none"/>
    </w:rPr>
  </w:style>
  <w:style w:type="character" w:customStyle="1" w:styleId="29">
    <w:name w:val="font21"/>
    <w:basedOn w:val="15"/>
    <w:qFormat/>
    <w:uiPriority w:val="0"/>
    <w:rPr>
      <w:rFonts w:hint="eastAsia" w:ascii="宋体" w:hAnsi="宋体" w:eastAsia="宋体" w:cs="宋体"/>
      <w:color w:val="000000"/>
      <w:sz w:val="24"/>
      <w:szCs w:val="24"/>
      <w:u w:val="none"/>
    </w:rPr>
  </w:style>
  <w:style w:type="character" w:customStyle="1" w:styleId="30">
    <w:name w:val="font01"/>
    <w:basedOn w:val="15"/>
    <w:qFormat/>
    <w:uiPriority w:val="0"/>
    <w:rPr>
      <w:rFonts w:hint="default" w:ascii="Times New Roman" w:hAnsi="Times New Roman" w:cs="Times New Roman"/>
      <w:color w:val="000000"/>
      <w:sz w:val="22"/>
      <w:szCs w:val="22"/>
      <w:u w:val="none"/>
    </w:rPr>
  </w:style>
  <w:style w:type="character" w:styleId="31">
    <w:name w:val="Placeholder Text"/>
    <w:basedOn w:val="15"/>
    <w:semiHidden/>
    <w:qFormat/>
    <w:uiPriority w:val="99"/>
    <w:rPr>
      <w:color w:val="808080"/>
    </w:rPr>
  </w:style>
  <w:style w:type="character" w:customStyle="1" w:styleId="32">
    <w:name w:val="标题 3 Char"/>
    <w:basedOn w:val="15"/>
    <w:link w:val="4"/>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82F32-E3B3-468E-8093-276026649A5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1377</Words>
  <Characters>7851</Characters>
  <Lines>65</Lines>
  <Paragraphs>18</Paragraphs>
  <TotalTime>0</TotalTime>
  <ScaleCrop>false</ScaleCrop>
  <LinksUpToDate>false</LinksUpToDate>
  <CharactersWithSpaces>9210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2020-08-03T06:13:00Z</dcterms:created>
  <dc:creator>Sky123.Org</dc:creator>
  <cp:lastModifiedBy>Dong CJ</cp:lastModifiedBy>
  <cp:lastPrinted>2020-08-27T07:10:00Z</cp:lastPrinted>
  <dcterms:modified xsi:type="dcterms:W3CDTF">2020-12-14T07:03:48Z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