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21"/>
        </w:rPr>
      </w:pPr>
      <w:r>
        <w:rPr>
          <w:b/>
          <w:sz w:val="21"/>
        </w:rPr>
        <w:t xml:space="preserve">ICS </w:t>
      </w:r>
      <w:r>
        <w:rPr>
          <w:rFonts w:hint="eastAsia"/>
          <w:b/>
          <w:sz w:val="21"/>
        </w:rPr>
        <w:t>9</w:t>
      </w:r>
      <w:r>
        <w:rPr>
          <w:b/>
          <w:sz w:val="21"/>
        </w:rPr>
        <w:t>3.160</w:t>
      </w:r>
    </w:p>
    <w:p>
      <w:pPr>
        <w:spacing w:line="360" w:lineRule="auto"/>
        <w:rPr>
          <w:b/>
          <w:sz w:val="21"/>
        </w:rPr>
      </w:pPr>
      <w:r>
        <w:rPr>
          <w:b/>
          <w:sz w:val="21"/>
        </w:rPr>
        <w:t xml:space="preserve">CCS56 </w:t>
      </w:r>
    </w:p>
    <w:p>
      <w:pPr>
        <w:spacing w:line="240" w:lineRule="auto"/>
        <w:jc w:val="center"/>
        <w:rPr>
          <w:rFonts w:ascii="Times New Roman" w:hAnsi="Times New Roman" w:eastAsia="黑体" w:cs="Times New Roman"/>
          <w:color w:val="000000"/>
          <w:sz w:val="72"/>
          <w:szCs w:val="72"/>
        </w:rPr>
      </w:pPr>
      <w:r>
        <w:rPr>
          <w:rFonts w:hint="eastAsia" w:ascii="Times New Roman" w:hAnsi="Times New Roman" w:eastAsia="黑体" w:cs="Times New Roman"/>
          <w:color w:val="000000"/>
          <w:sz w:val="72"/>
          <w:szCs w:val="72"/>
        </w:rPr>
        <w:t>团</w:t>
      </w:r>
      <w:r>
        <w:rPr>
          <w:rFonts w:ascii="Times New Roman" w:hAnsi="Times New Roman" w:eastAsia="黑体" w:cs="Times New Roman"/>
          <w:color w:val="000000"/>
          <w:sz w:val="72"/>
          <w:szCs w:val="72"/>
        </w:rPr>
        <w:t xml:space="preserve"> </w:t>
      </w:r>
      <w:r>
        <w:rPr>
          <w:rFonts w:hint="eastAsia" w:ascii="Times New Roman" w:hAnsi="Times New Roman" w:eastAsia="黑体" w:cs="Times New Roman"/>
          <w:color w:val="000000"/>
          <w:sz w:val="72"/>
          <w:szCs w:val="72"/>
        </w:rPr>
        <w:t>体</w:t>
      </w:r>
      <w:r>
        <w:rPr>
          <w:rFonts w:ascii="Times New Roman" w:hAnsi="Times New Roman" w:eastAsia="黑体" w:cs="Times New Roman"/>
          <w:color w:val="000000"/>
          <w:sz w:val="72"/>
          <w:szCs w:val="72"/>
        </w:rPr>
        <w:t xml:space="preserve"> </w:t>
      </w:r>
      <w:r>
        <w:rPr>
          <w:rFonts w:hint="eastAsia" w:ascii="Times New Roman" w:hAnsi="Times New Roman" w:eastAsia="黑体" w:cs="Times New Roman"/>
          <w:color w:val="000000"/>
          <w:sz w:val="72"/>
          <w:szCs w:val="72"/>
        </w:rPr>
        <w:t>标</w:t>
      </w:r>
      <w:r>
        <w:rPr>
          <w:rFonts w:ascii="Times New Roman" w:hAnsi="Times New Roman" w:eastAsia="黑体" w:cs="Times New Roman"/>
          <w:color w:val="000000"/>
          <w:sz w:val="72"/>
          <w:szCs w:val="72"/>
        </w:rPr>
        <w:t xml:space="preserve"> </w:t>
      </w:r>
      <w:r>
        <w:rPr>
          <w:rFonts w:hint="eastAsia" w:ascii="Times New Roman" w:hAnsi="Times New Roman" w:eastAsia="黑体" w:cs="Times New Roman"/>
          <w:color w:val="000000"/>
          <w:sz w:val="72"/>
          <w:szCs w:val="72"/>
        </w:rPr>
        <w:t>准</w:t>
      </w:r>
    </w:p>
    <w:p>
      <w:pPr>
        <w:spacing w:line="360" w:lineRule="auto"/>
        <w:jc w:val="right"/>
        <w:rPr>
          <w:sz w:val="28"/>
          <w:szCs w:val="28"/>
        </w:rPr>
      </w:pPr>
      <w:r>
        <w:rPr>
          <w:rFonts w:eastAsiaTheme="minorEastAsia" w:cstheme="minorBidi"/>
          <w:b/>
          <w:sz w:val="28"/>
          <w:szCs w:val="28"/>
        </w:rPr>
        <w:t>T/CHES XX-20</w:t>
      </w:r>
      <w:r>
        <w:rPr>
          <w:rFonts w:hint="eastAsia" w:eastAsiaTheme="minorEastAsia" w:cstheme="minorBidi"/>
          <w:b/>
          <w:sz w:val="28"/>
          <w:szCs w:val="28"/>
        </w:rPr>
        <w:t>20</w:t>
      </w:r>
      <w:r>
        <w:rPr>
          <w:sz w:val="28"/>
          <w:szCs w:val="28"/>
        </w:rPr>
        <w:t xml:space="preserve">  </w:t>
      </w:r>
    </w:p>
    <w:p>
      <w:pPr>
        <w:rPr>
          <w:sz w:val="28"/>
          <w:szCs w:val="28"/>
        </w:rPr>
      </w:pPr>
      <w:r>
        <mc:AlternateContent>
          <mc:Choice Requires="wps">
            <w:drawing>
              <wp:anchor distT="0" distB="0" distL="114300" distR="114300" simplePos="0" relativeHeight="251657216" behindDoc="0" locked="0" layoutInCell="1" allowOverlap="1">
                <wp:simplePos x="0" y="0"/>
                <wp:positionH relativeFrom="column">
                  <wp:posOffset>25400</wp:posOffset>
                </wp:positionH>
                <wp:positionV relativeFrom="paragraph">
                  <wp:posOffset>33655</wp:posOffset>
                </wp:positionV>
                <wp:extent cx="5311775" cy="0"/>
                <wp:effectExtent l="0" t="0" r="0" b="0"/>
                <wp:wrapNone/>
                <wp:docPr id="3" name="直接连接符 2"/>
                <wp:cNvGraphicFramePr/>
                <a:graphic xmlns:a="http://schemas.openxmlformats.org/drawingml/2006/main">
                  <a:graphicData uri="http://schemas.microsoft.com/office/word/2010/wordprocessingShape">
                    <wps:wsp>
                      <wps:cNvCnPr>
                        <a:cxnSpLocks noChangeShapeType="1"/>
                      </wps:cNvCnPr>
                      <wps:spPr>
                        <a:xfrm>
                          <a:off x="0" y="0"/>
                          <a:ext cx="53117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2pt;margin-top:2.65pt;height:0pt;width:418.25pt;z-index:251657216;mso-width-relative:page;mso-height-relative:page;" filled="f" stroked="t" coordsize="21600,21600" o:gfxdata="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&#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Fj1U0wAAAAUBAAAPAAAAAAAAAAEAIAAAACIAAABk&#10;cnMvZG93bnJldi54bWxQSwECFAAUAAAACACHTuJA/cxbggsCAAAUBAAADgAAAAAAAAABACAAAAAi&#10;AQAAZHJzL2Uyb0RvYy54bWxQSwUGAAAAAAYABgBZAQAAnwUAAAAA&#10;">
                <v:fill on="f" focussize="0,0"/>
                <v:stroke weight="0.5pt" color="#000000" joinstyle="miter"/>
                <v:imagedata o:title=""/>
                <o:lock v:ext="edit" aspectratio="f"/>
              </v:line>
            </w:pict>
          </mc:Fallback>
        </mc:AlternateContent>
      </w:r>
    </w:p>
    <w:p>
      <w:pPr>
        <w:rPr>
          <w:sz w:val="28"/>
          <w:szCs w:val="28"/>
        </w:rPr>
      </w:pPr>
    </w:p>
    <w:p>
      <w:pPr>
        <w:spacing w:after="312" w:afterLines="100" w:line="300" w:lineRule="auto"/>
        <w:jc w:val="center"/>
        <w:rPr>
          <w:rFonts w:ascii="Times New Roman" w:hAnsi="Times New Roman" w:eastAsia="黑体" w:cs="Times New Roman"/>
          <w:color w:val="000000"/>
          <w:sz w:val="48"/>
          <w:szCs w:val="48"/>
        </w:rPr>
      </w:pPr>
      <w:r>
        <w:rPr>
          <w:rFonts w:hint="eastAsia" w:ascii="Times New Roman" w:hAnsi="Times New Roman" w:eastAsia="黑体" w:cs="Times New Roman"/>
          <w:color w:val="000000"/>
          <w:sz w:val="48"/>
          <w:szCs w:val="48"/>
        </w:rPr>
        <w:t>液压升降坝设计规范</w:t>
      </w:r>
    </w:p>
    <w:p>
      <w:pPr>
        <w:snapToGrid w:val="0"/>
        <w:spacing w:line="360" w:lineRule="auto"/>
        <w:jc w:val="center"/>
        <w:rPr>
          <w:rFonts w:ascii="Times New Roman" w:hAnsi="Times New Roman" w:eastAsia="宋体" w:cs="Times New Roman"/>
          <w:b/>
          <w:color w:val="000000"/>
          <w:kern w:val="0"/>
          <w:sz w:val="28"/>
          <w:szCs w:val="28"/>
        </w:rPr>
      </w:pPr>
      <w:r>
        <w:rPr>
          <w:rFonts w:ascii="Times New Roman" w:hAnsi="Times New Roman" w:eastAsia="宋体" w:cs="Times New Roman"/>
          <w:b/>
          <w:color w:val="000000"/>
          <w:kern w:val="0"/>
          <w:sz w:val="28"/>
          <w:szCs w:val="28"/>
        </w:rPr>
        <w:t>Design specification for hydraulic lifting dams</w:t>
      </w:r>
    </w:p>
    <w:p>
      <w:pPr>
        <w:jc w:val="center"/>
        <w:rPr>
          <w:sz w:val="28"/>
          <w:szCs w:val="28"/>
        </w:rPr>
      </w:pPr>
      <w:r>
        <w:rPr>
          <w:rFonts w:hint="eastAsia"/>
          <w:sz w:val="28"/>
          <w:szCs w:val="28"/>
        </w:rPr>
        <w:t>（报批稿）</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tabs>
          <w:tab w:val="right" w:pos="7920"/>
        </w:tabs>
        <w:spacing w:line="360" w:lineRule="auto"/>
        <w:rPr>
          <w:rFonts w:eastAsiaTheme="minorEastAsia" w:cstheme="minorBidi"/>
          <w:sz w:val="28"/>
          <w:szCs w:val="28"/>
        </w:rPr>
      </w:pPr>
      <w:r>
        <w:rPr>
          <w:rFonts w:eastAsiaTheme="minorEastAsia" w:cstheme="minorBidi"/>
          <w:sz w:val="28"/>
          <w:szCs w:val="28"/>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379095</wp:posOffset>
                </wp:positionV>
                <wp:extent cx="5311775" cy="0"/>
                <wp:effectExtent l="0" t="0" r="0" b="0"/>
                <wp:wrapNone/>
                <wp:docPr id="2" name="直接连接符 1"/>
                <wp:cNvGraphicFramePr/>
                <a:graphic xmlns:a="http://schemas.openxmlformats.org/drawingml/2006/main">
                  <a:graphicData uri="http://schemas.microsoft.com/office/word/2010/wordprocessingShape">
                    <wps:wsp>
                      <wps:cNvCnPr>
                        <a:cxnSpLocks noChangeShapeType="1"/>
                      </wps:cNvCnPr>
                      <wps:spPr>
                        <a:xfrm>
                          <a:off x="0" y="0"/>
                          <a:ext cx="53117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1" o:spid="_x0000_s1026" o:spt="20" style="position:absolute;left:0pt;margin-left:-2.3pt;margin-top:29.85pt;height:0pt;width:418.25pt;z-index:251658240;mso-width-relative:page;mso-height-relative:page;" filled="f" stroked="t" coordsize="21600,21600" o:gfxdata="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i27PWAAAACAEAAA8AAAAAAAAAAQAgAAAAIgAA&#10;AGRycy9kb3ducmV2LnhtbFBLAQIUABQAAAAIAIdO4kD4lBnZCgIAABQEAAAOAAAAAAAAAAEAIAAA&#10;ACUBAABkcnMvZTJvRG9jLnhtbFBLBQYAAAAABgAGAFkBAAChBQAAAAA=&#10;">
                <v:fill on="f" focussize="0,0"/>
                <v:stroke weight="0.5pt" color="#000000" joinstyle="miter"/>
                <v:imagedata o:title=""/>
                <o:lock v:ext="edit" aspectratio="f"/>
              </v:line>
            </w:pict>
          </mc:Fallback>
        </mc:AlternateContent>
      </w:r>
      <w:r>
        <w:rPr>
          <w:rFonts w:eastAsiaTheme="minorEastAsia" w:cstheme="minorBidi"/>
          <w:sz w:val="28"/>
          <w:szCs w:val="28"/>
        </w:rPr>
        <w:t>20</w:t>
      </w:r>
      <w:r>
        <w:rPr>
          <w:rFonts w:hint="eastAsia" w:eastAsiaTheme="minorEastAsia" w:cstheme="minorBidi"/>
          <w:sz w:val="28"/>
          <w:szCs w:val="28"/>
        </w:rPr>
        <w:t>20</w:t>
      </w:r>
      <w:r>
        <w:rPr>
          <w:rFonts w:eastAsiaTheme="minorEastAsia" w:cstheme="minorBidi"/>
          <w:sz w:val="28"/>
          <w:szCs w:val="28"/>
        </w:rPr>
        <w:t>-XX-XX</w:t>
      </w:r>
      <w:r>
        <w:rPr>
          <w:rFonts w:hint="eastAsia" w:eastAsiaTheme="minorEastAsia" w:cstheme="minorBidi"/>
          <w:sz w:val="28"/>
          <w:szCs w:val="28"/>
        </w:rPr>
        <w:t>发布</w:t>
      </w:r>
      <w:r>
        <w:rPr>
          <w:rFonts w:eastAsiaTheme="minorEastAsia" w:cstheme="minorBidi"/>
          <w:sz w:val="28"/>
          <w:szCs w:val="28"/>
        </w:rPr>
        <w:t xml:space="preserve">         </w:t>
      </w:r>
      <w:bookmarkStart w:id="186" w:name="_GoBack"/>
      <w:bookmarkEnd w:id="186"/>
      <w:r>
        <w:rPr>
          <w:rFonts w:eastAsiaTheme="minorEastAsia" w:cstheme="minorBidi"/>
          <w:sz w:val="28"/>
          <w:szCs w:val="28"/>
        </w:rPr>
        <w:t xml:space="preserve">                  20XX-XX-XX</w:t>
      </w:r>
      <w:r>
        <w:rPr>
          <w:rFonts w:hint="eastAsia" w:eastAsiaTheme="minorEastAsia" w:cstheme="minorBidi"/>
          <w:sz w:val="28"/>
          <w:szCs w:val="28"/>
        </w:rPr>
        <w:t>实施</w:t>
      </w:r>
    </w:p>
    <w:p>
      <w:pPr>
        <w:spacing w:line="24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中国水利学会</w:t>
      </w:r>
      <w:r>
        <w:rPr>
          <w:rFonts w:ascii="Times New Roman" w:hAnsi="Times New Roman" w:eastAsia="宋体" w:cs="Times New Roman"/>
          <w:b/>
          <w:sz w:val="32"/>
          <w:szCs w:val="32"/>
        </w:rPr>
        <w:t xml:space="preserve"> </w:t>
      </w:r>
      <w:r>
        <w:rPr>
          <w:rFonts w:hint="eastAsia" w:ascii="Times New Roman" w:hAnsi="Times New Roman" w:eastAsia="宋体" w:cs="Times New Roman"/>
          <w:b/>
          <w:sz w:val="32"/>
          <w:szCs w:val="32"/>
        </w:rPr>
        <w:t>发</w:t>
      </w:r>
      <w:r>
        <w:rPr>
          <w:rFonts w:ascii="Times New Roman" w:hAnsi="Times New Roman" w:eastAsia="宋体" w:cs="Times New Roman"/>
          <w:b/>
          <w:sz w:val="32"/>
          <w:szCs w:val="32"/>
        </w:rPr>
        <w:t xml:space="preserve"> </w:t>
      </w:r>
      <w:r>
        <w:rPr>
          <w:rFonts w:hint="eastAsia" w:ascii="Times New Roman" w:hAnsi="Times New Roman" w:eastAsia="宋体" w:cs="Times New Roman"/>
          <w:b/>
          <w:sz w:val="32"/>
          <w:szCs w:val="32"/>
        </w:rPr>
        <w:t>布</w:t>
      </w:r>
    </w:p>
    <w:p>
      <w:pPr>
        <w:spacing w:line="360" w:lineRule="auto"/>
        <w:jc w:val="center"/>
        <w:rPr>
          <w:rFonts w:asciiTheme="minorEastAsia" w:hAnsiTheme="minorEastAsia" w:eastAsiaTheme="minorEastAsia" w:cstheme="minorBidi"/>
          <w:b/>
          <w:sz w:val="28"/>
          <w:szCs w:val="32"/>
        </w:rPr>
        <w:sectPr>
          <w:footerReference r:id="rId3" w:type="default"/>
          <w:pgSz w:w="11906" w:h="16838"/>
          <w:pgMar w:top="1440" w:right="1800" w:bottom="1440" w:left="1800" w:header="851" w:footer="992" w:gutter="0"/>
          <w:pgNumType w:start="1"/>
          <w:cols w:space="720" w:num="1"/>
          <w:docGrid w:type="lines" w:linePitch="312" w:charSpace="0"/>
        </w:sectPr>
      </w:pPr>
    </w:p>
    <w:p>
      <w:pPr>
        <w:pStyle w:val="4"/>
        <w:spacing w:before="240" w:after="240" w:line="360" w:lineRule="auto"/>
        <w:rPr>
          <w:rFonts w:ascii="黑体" w:hAnsi="黑体" w:eastAsia="黑体"/>
          <w:sz w:val="28"/>
          <w:szCs w:val="28"/>
        </w:rPr>
      </w:pPr>
      <w:r>
        <w:rPr>
          <w:rFonts w:hint="eastAsia" w:ascii="黑体" w:hAnsi="黑体" w:eastAsia="黑体"/>
          <w:sz w:val="28"/>
          <w:szCs w:val="28"/>
        </w:rPr>
        <w:t>前</w:t>
      </w:r>
      <w:r>
        <w:rPr>
          <w:rFonts w:ascii="黑体" w:hAnsi="黑体" w:eastAsia="黑体"/>
          <w:sz w:val="28"/>
          <w:szCs w:val="28"/>
        </w:rPr>
        <w:t xml:space="preserve"> </w:t>
      </w:r>
      <w:r>
        <w:rPr>
          <w:rFonts w:hint="eastAsia" w:ascii="黑体" w:hAnsi="黑体" w:eastAsia="黑体"/>
          <w:sz w:val="28"/>
          <w:szCs w:val="28"/>
        </w:rPr>
        <w:t xml:space="preserve">   言</w:t>
      </w:r>
    </w:p>
    <w:p>
      <w:pPr>
        <w:spacing w:line="276" w:lineRule="auto"/>
        <w:ind w:firstLine="465"/>
        <w:rPr>
          <w:sz w:val="21"/>
          <w:szCs w:val="24"/>
        </w:rPr>
      </w:pPr>
      <w:r>
        <w:rPr>
          <w:rFonts w:hint="eastAsia"/>
          <w:sz w:val="21"/>
          <w:szCs w:val="24"/>
        </w:rPr>
        <w:t>根据《关于批准&lt;大中型泵站工程规范运行管理标准&gt;等10项标准立项的通知》（水学〔2020〕94号）安排，按照《工程建设标准编写规定》（建标[2008]182号）的要求，制定本标准。</w:t>
      </w:r>
    </w:p>
    <w:p>
      <w:pPr>
        <w:spacing w:line="276" w:lineRule="auto"/>
        <w:ind w:firstLine="465"/>
        <w:rPr>
          <w:sz w:val="21"/>
          <w:szCs w:val="24"/>
        </w:rPr>
      </w:pPr>
      <w:r>
        <w:rPr>
          <w:rFonts w:hint="eastAsia"/>
          <w:sz w:val="21"/>
          <w:szCs w:val="24"/>
        </w:rPr>
        <w:t>本标准共8章。主要技术内容包括总体布置、门叶结构设计、止水装置、液压系统、控制系统以及配电设计。</w:t>
      </w:r>
    </w:p>
    <w:p>
      <w:pPr>
        <w:spacing w:line="276" w:lineRule="auto"/>
        <w:ind w:firstLine="465"/>
        <w:rPr>
          <w:sz w:val="21"/>
          <w:szCs w:val="24"/>
        </w:rPr>
      </w:pPr>
      <w:r>
        <w:rPr>
          <w:rFonts w:hint="eastAsia"/>
          <w:sz w:val="21"/>
          <w:szCs w:val="24"/>
        </w:rPr>
        <w:t>本标准的某些内容可能涉及有关专利，发布机构不承担识别专利的责任。</w:t>
      </w:r>
    </w:p>
    <w:p>
      <w:pPr>
        <w:spacing w:line="276" w:lineRule="auto"/>
        <w:ind w:firstLine="465"/>
        <w:rPr>
          <w:sz w:val="21"/>
          <w:szCs w:val="24"/>
        </w:rPr>
      </w:pPr>
      <w:r>
        <w:rPr>
          <w:rFonts w:hint="eastAsia"/>
          <w:sz w:val="21"/>
          <w:szCs w:val="24"/>
        </w:rPr>
        <w:t>本标准由中国水利学会</w:t>
      </w:r>
      <w:r>
        <w:rPr>
          <w:rFonts w:hint="eastAsia"/>
          <w:sz w:val="21"/>
          <w:szCs w:val="24"/>
          <w:lang w:eastAsia="zh-CN"/>
        </w:rPr>
        <w:t>归口</w:t>
      </w:r>
      <w:r>
        <w:rPr>
          <w:rFonts w:hint="eastAsia"/>
          <w:sz w:val="21"/>
          <w:szCs w:val="24"/>
        </w:rPr>
        <w:t>。</w:t>
      </w:r>
    </w:p>
    <w:p>
      <w:pPr>
        <w:spacing w:line="276" w:lineRule="auto"/>
        <w:ind w:firstLine="465"/>
        <w:rPr>
          <w:sz w:val="21"/>
          <w:szCs w:val="24"/>
        </w:rPr>
      </w:pPr>
      <w:r>
        <w:rPr>
          <w:rFonts w:hint="eastAsia"/>
          <w:sz w:val="21"/>
          <w:szCs w:val="24"/>
        </w:rPr>
        <w:t>主 编 单 位： 安徽池州川河水利科技有限公司</w:t>
      </w:r>
    </w:p>
    <w:p>
      <w:pPr>
        <w:spacing w:line="276" w:lineRule="auto"/>
        <w:ind w:firstLine="465"/>
        <w:rPr>
          <w:sz w:val="21"/>
          <w:szCs w:val="24"/>
        </w:rPr>
      </w:pPr>
      <w:r>
        <w:rPr>
          <w:rFonts w:hint="eastAsia"/>
          <w:sz w:val="21"/>
          <w:szCs w:val="24"/>
        </w:rPr>
        <w:t>参 编 单 位： 河海大学 新疆水利水电规划设计管理局 陕西省水利电力勘测设计研究院 淮安市水利勘测设计研究院有限公司 甘肃省水利水电勘测设计研究院有限责任公司 长江勘测规划设计研究有限责任公司 北京中水科工程总公司</w:t>
      </w:r>
    </w:p>
    <w:p>
      <w:pPr>
        <w:spacing w:line="276" w:lineRule="auto"/>
        <w:ind w:firstLine="465"/>
        <w:rPr>
          <w:sz w:val="21"/>
          <w:szCs w:val="24"/>
        </w:rPr>
      </w:pPr>
      <w:r>
        <w:rPr>
          <w:rFonts w:hint="eastAsia"/>
          <w:sz w:val="21"/>
          <w:szCs w:val="24"/>
        </w:rPr>
        <w:t>主要起草人：周振华</w:t>
      </w:r>
      <w:r>
        <w:rPr>
          <w:sz w:val="21"/>
          <w:szCs w:val="24"/>
        </w:rPr>
        <w:t xml:space="preserve"> </w:t>
      </w:r>
      <w:r>
        <w:rPr>
          <w:rFonts w:hint="eastAsia"/>
          <w:sz w:val="21"/>
          <w:szCs w:val="24"/>
        </w:rPr>
        <w:t>沈振中</w:t>
      </w:r>
      <w:r>
        <w:rPr>
          <w:sz w:val="21"/>
          <w:szCs w:val="24"/>
        </w:rPr>
        <w:t xml:space="preserve"> </w:t>
      </w:r>
      <w:r>
        <w:rPr>
          <w:rFonts w:hint="eastAsia"/>
          <w:sz w:val="21"/>
          <w:szCs w:val="24"/>
        </w:rPr>
        <w:t>黄洁</w:t>
      </w:r>
      <w:r>
        <w:rPr>
          <w:sz w:val="21"/>
          <w:szCs w:val="24"/>
        </w:rPr>
        <w:t xml:space="preserve"> </w:t>
      </w:r>
      <w:r>
        <w:rPr>
          <w:rFonts w:hint="eastAsia"/>
          <w:sz w:val="21"/>
          <w:szCs w:val="24"/>
        </w:rPr>
        <w:t>张延</w:t>
      </w:r>
      <w:r>
        <w:rPr>
          <w:sz w:val="21"/>
          <w:szCs w:val="24"/>
        </w:rPr>
        <w:t xml:space="preserve"> </w:t>
      </w:r>
      <w:r>
        <w:rPr>
          <w:rFonts w:hint="eastAsia"/>
          <w:sz w:val="21"/>
          <w:szCs w:val="24"/>
        </w:rPr>
        <w:t>肖晨光</w:t>
      </w:r>
      <w:r>
        <w:rPr>
          <w:sz w:val="21"/>
          <w:szCs w:val="24"/>
        </w:rPr>
        <w:t xml:space="preserve"> </w:t>
      </w:r>
      <w:r>
        <w:rPr>
          <w:rFonts w:hint="eastAsia"/>
          <w:sz w:val="21"/>
          <w:szCs w:val="24"/>
        </w:rPr>
        <w:t>周彬龙</w:t>
      </w:r>
      <w:r>
        <w:rPr>
          <w:sz w:val="21"/>
          <w:szCs w:val="24"/>
        </w:rPr>
        <w:t xml:space="preserve"> </w:t>
      </w:r>
      <w:r>
        <w:rPr>
          <w:rFonts w:hint="eastAsia"/>
          <w:sz w:val="21"/>
          <w:szCs w:val="24"/>
        </w:rPr>
        <w:t>李江</w:t>
      </w:r>
      <w:r>
        <w:rPr>
          <w:sz w:val="21"/>
          <w:szCs w:val="24"/>
        </w:rPr>
        <w:t xml:space="preserve"> </w:t>
      </w:r>
      <w:r>
        <w:rPr>
          <w:rFonts w:hint="eastAsia"/>
          <w:sz w:val="21"/>
          <w:szCs w:val="24"/>
        </w:rPr>
        <w:t>黄 涛</w:t>
      </w:r>
      <w:r>
        <w:rPr>
          <w:sz w:val="21"/>
          <w:szCs w:val="24"/>
        </w:rPr>
        <w:t xml:space="preserve"> </w:t>
      </w:r>
      <w:r>
        <w:rPr>
          <w:rFonts w:hint="eastAsia"/>
          <w:sz w:val="21"/>
          <w:szCs w:val="24"/>
        </w:rPr>
        <w:t>王平</w:t>
      </w:r>
      <w:r>
        <w:rPr>
          <w:sz w:val="21"/>
          <w:szCs w:val="24"/>
        </w:rPr>
        <w:t xml:space="preserve"> </w:t>
      </w:r>
      <w:r>
        <w:rPr>
          <w:rFonts w:hint="eastAsia"/>
          <w:sz w:val="21"/>
          <w:szCs w:val="24"/>
        </w:rPr>
        <w:t>杨明化</w:t>
      </w:r>
      <w:r>
        <w:rPr>
          <w:sz w:val="21"/>
          <w:szCs w:val="24"/>
        </w:rPr>
        <w:t xml:space="preserve"> </w:t>
      </w:r>
      <w:r>
        <w:rPr>
          <w:rFonts w:hint="eastAsia"/>
          <w:sz w:val="21"/>
          <w:szCs w:val="24"/>
        </w:rPr>
        <w:t>吴昌新</w:t>
      </w:r>
      <w:r>
        <w:rPr>
          <w:sz w:val="21"/>
          <w:szCs w:val="24"/>
        </w:rPr>
        <w:t xml:space="preserve"> </w:t>
      </w:r>
      <w:r>
        <w:rPr>
          <w:rFonts w:hint="eastAsia"/>
          <w:sz w:val="21"/>
          <w:szCs w:val="24"/>
        </w:rPr>
        <w:t>吴岳俊</w:t>
      </w:r>
      <w:r>
        <w:rPr>
          <w:sz w:val="21"/>
          <w:szCs w:val="24"/>
        </w:rPr>
        <w:t xml:space="preserve"> </w:t>
      </w:r>
      <w:r>
        <w:rPr>
          <w:rFonts w:hint="eastAsia"/>
          <w:sz w:val="21"/>
          <w:szCs w:val="24"/>
        </w:rPr>
        <w:t>叶帅</w:t>
      </w:r>
      <w:r>
        <w:rPr>
          <w:sz w:val="21"/>
          <w:szCs w:val="24"/>
        </w:rPr>
        <w:t xml:space="preserve"> </w:t>
      </w:r>
      <w:r>
        <w:rPr>
          <w:rFonts w:hint="eastAsia"/>
          <w:sz w:val="21"/>
          <w:szCs w:val="24"/>
        </w:rPr>
        <w:t>熊伟</w:t>
      </w:r>
      <w:r>
        <w:rPr>
          <w:sz w:val="21"/>
          <w:szCs w:val="24"/>
        </w:rPr>
        <w:t xml:space="preserve"> </w:t>
      </w:r>
      <w:r>
        <w:rPr>
          <w:rFonts w:hint="eastAsia"/>
          <w:sz w:val="21"/>
          <w:szCs w:val="24"/>
        </w:rPr>
        <w:t>甘丰青</w:t>
      </w:r>
      <w:r>
        <w:rPr>
          <w:sz w:val="21"/>
          <w:szCs w:val="24"/>
        </w:rPr>
        <w:t xml:space="preserve"> </w:t>
      </w:r>
      <w:r>
        <w:rPr>
          <w:rFonts w:hint="eastAsia"/>
          <w:sz w:val="21"/>
          <w:szCs w:val="24"/>
        </w:rPr>
        <w:t>唐康</w:t>
      </w:r>
      <w:r>
        <w:rPr>
          <w:sz w:val="21"/>
          <w:szCs w:val="24"/>
        </w:rPr>
        <w:t xml:space="preserve"> </w:t>
      </w:r>
      <w:r>
        <w:rPr>
          <w:rFonts w:hint="eastAsia"/>
          <w:sz w:val="21"/>
          <w:szCs w:val="24"/>
        </w:rPr>
        <w:t>陈瑞贵</w:t>
      </w:r>
      <w:r>
        <w:rPr>
          <w:sz w:val="21"/>
          <w:szCs w:val="24"/>
        </w:rPr>
        <w:t xml:space="preserve"> </w:t>
      </w:r>
      <w:r>
        <w:rPr>
          <w:rFonts w:hint="eastAsia"/>
          <w:sz w:val="21"/>
          <w:szCs w:val="24"/>
        </w:rPr>
        <w:t>徐力群</w:t>
      </w:r>
      <w:r>
        <w:rPr>
          <w:sz w:val="21"/>
          <w:szCs w:val="24"/>
        </w:rPr>
        <w:t xml:space="preserve"> </w:t>
      </w:r>
      <w:r>
        <w:rPr>
          <w:rFonts w:hint="eastAsia"/>
          <w:sz w:val="21"/>
          <w:szCs w:val="24"/>
        </w:rPr>
        <w:t>克里木</w:t>
      </w:r>
      <w:r>
        <w:rPr>
          <w:sz w:val="21"/>
          <w:szCs w:val="24"/>
        </w:rPr>
        <w:t xml:space="preserve"> </w:t>
      </w:r>
      <w:r>
        <w:rPr>
          <w:rFonts w:hint="eastAsia"/>
          <w:sz w:val="21"/>
          <w:szCs w:val="24"/>
        </w:rPr>
        <w:t>武清</w:t>
      </w:r>
      <w:r>
        <w:rPr>
          <w:sz w:val="21"/>
          <w:szCs w:val="24"/>
        </w:rPr>
        <w:t xml:space="preserve"> </w:t>
      </w:r>
      <w:r>
        <w:rPr>
          <w:rFonts w:hint="eastAsia"/>
          <w:sz w:val="21"/>
          <w:szCs w:val="24"/>
        </w:rPr>
        <w:t>赵妮</w:t>
      </w:r>
      <w:r>
        <w:rPr>
          <w:sz w:val="21"/>
          <w:szCs w:val="24"/>
        </w:rPr>
        <w:t xml:space="preserve"> </w:t>
      </w:r>
      <w:r>
        <w:rPr>
          <w:rFonts w:hint="eastAsia"/>
          <w:sz w:val="21"/>
          <w:szCs w:val="24"/>
        </w:rPr>
        <w:t>马军</w:t>
      </w:r>
      <w:r>
        <w:rPr>
          <w:sz w:val="21"/>
          <w:szCs w:val="24"/>
        </w:rPr>
        <w:t xml:space="preserve"> </w:t>
      </w:r>
      <w:r>
        <w:rPr>
          <w:rFonts w:hint="eastAsia"/>
          <w:sz w:val="21"/>
          <w:szCs w:val="24"/>
        </w:rPr>
        <w:t>徐海飞</w:t>
      </w:r>
      <w:r>
        <w:rPr>
          <w:sz w:val="21"/>
          <w:szCs w:val="24"/>
        </w:rPr>
        <w:t xml:space="preserve"> </w:t>
      </w:r>
      <w:r>
        <w:rPr>
          <w:rFonts w:hint="eastAsia"/>
          <w:sz w:val="21"/>
          <w:szCs w:val="24"/>
        </w:rPr>
        <w:t>王湛</w:t>
      </w:r>
      <w:r>
        <w:rPr>
          <w:sz w:val="21"/>
          <w:szCs w:val="24"/>
        </w:rPr>
        <w:t xml:space="preserve"> </w:t>
      </w:r>
      <w:r>
        <w:rPr>
          <w:rFonts w:hint="eastAsia"/>
          <w:sz w:val="21"/>
          <w:szCs w:val="24"/>
        </w:rPr>
        <w:t>闫永生</w:t>
      </w:r>
      <w:r>
        <w:rPr>
          <w:sz w:val="21"/>
          <w:szCs w:val="24"/>
        </w:rPr>
        <w:t xml:space="preserve"> </w:t>
      </w:r>
      <w:r>
        <w:rPr>
          <w:rFonts w:hint="eastAsia"/>
          <w:sz w:val="21"/>
          <w:szCs w:val="24"/>
        </w:rPr>
        <w:t>耿晔晗</w:t>
      </w:r>
      <w:r>
        <w:rPr>
          <w:sz w:val="21"/>
          <w:szCs w:val="24"/>
        </w:rPr>
        <w:t xml:space="preserve"> </w:t>
      </w:r>
      <w:r>
        <w:rPr>
          <w:rFonts w:hint="eastAsia"/>
          <w:sz w:val="21"/>
          <w:szCs w:val="24"/>
        </w:rPr>
        <w:t>程小伟</w:t>
      </w:r>
    </w:p>
    <w:p>
      <w:pPr>
        <w:spacing w:line="276" w:lineRule="auto"/>
        <w:ind w:firstLine="465"/>
        <w:rPr>
          <w:rFonts w:ascii="宋体" w:hAnsi="宋体" w:cs="宋体"/>
        </w:rPr>
      </w:pPr>
      <w:r>
        <w:rPr>
          <w:rFonts w:hint="eastAsia"/>
          <w:sz w:val="21"/>
          <w:szCs w:val="24"/>
        </w:rPr>
        <w:t xml:space="preserve"> 主要审查人：孟庆奎  王顺义 </w:t>
      </w:r>
      <w:r>
        <w:rPr>
          <w:rFonts w:hint="eastAsia" w:ascii="宋体" w:hAnsi="宋体" w:cs="宋体"/>
        </w:rPr>
        <w:t xml:space="preserve">  </w:t>
      </w: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r>
        <w:rPr>
          <w:sz w:val="28"/>
          <w:szCs w:val="32"/>
        </w:rPr>
        <w:br w:type="page"/>
      </w:r>
    </w:p>
    <w:p>
      <w:pPr>
        <w:widowControl/>
        <w:spacing w:line="240" w:lineRule="auto"/>
        <w:jc w:val="center"/>
        <w:rPr>
          <w:rFonts w:ascii="黑体" w:hAnsi="宋体" w:eastAsia="黑体" w:cs="黑体"/>
          <w:b/>
          <w:kern w:val="0"/>
          <w:sz w:val="28"/>
          <w:szCs w:val="28"/>
        </w:rPr>
      </w:pPr>
      <w:r>
        <w:rPr>
          <w:rFonts w:hint="eastAsia" w:ascii="黑体" w:hAnsi="宋体" w:eastAsia="黑体" w:cs="黑体"/>
          <w:b/>
          <w:kern w:val="0"/>
          <w:sz w:val="28"/>
          <w:szCs w:val="28"/>
        </w:rPr>
        <w:t>目    次</w:t>
      </w:r>
    </w:p>
    <w:p>
      <w:pPr>
        <w:pStyle w:val="9"/>
        <w:tabs>
          <w:tab w:val="right" w:leader="dot" w:pos="9062"/>
        </w:tabs>
        <w:rPr>
          <w:rFonts w:asciiTheme="minorHAnsi" w:hAnsiTheme="minorHAnsi" w:eastAsiaTheme="minorEastAsia" w:cstheme="minorBidi"/>
          <w:b w:val="0"/>
          <w:bCs w:val="0"/>
          <w:sz w:val="21"/>
          <w:szCs w:val="22"/>
        </w:rPr>
      </w:pPr>
      <w:r>
        <w:rPr>
          <w:rFonts w:ascii="Calibri Light"/>
          <w:szCs w:val="24"/>
        </w:rPr>
        <w:fldChar w:fldCharType="begin"/>
      </w:r>
      <w:r>
        <w:rPr>
          <w:rFonts w:ascii="Calibri Light"/>
          <w:szCs w:val="24"/>
        </w:rPr>
        <w:instrText xml:space="preserve">TOC \o "1-9" \f \h \u </w:instrText>
      </w:r>
      <w:r>
        <w:rPr>
          <w:rFonts w:ascii="Calibri Light"/>
          <w:szCs w:val="24"/>
        </w:rPr>
        <w:fldChar w:fldCharType="separate"/>
      </w:r>
      <w:r>
        <w:fldChar w:fldCharType="begin"/>
      </w:r>
      <w:r>
        <w:instrText xml:space="preserve"> HYPERLINK \l "_Toc58853844" </w:instrText>
      </w:r>
      <w:r>
        <w:fldChar w:fldCharType="separate"/>
      </w:r>
      <w:r>
        <w:rPr>
          <w:rStyle w:val="15"/>
        </w:rPr>
        <w:t>1  总则</w:t>
      </w:r>
      <w:r>
        <w:tab/>
      </w:r>
      <w:r>
        <w:fldChar w:fldCharType="begin"/>
      </w:r>
      <w:r>
        <w:instrText xml:space="preserve"> PAGEREF _Toc58853844 \h </w:instrText>
      </w:r>
      <w:r>
        <w:fldChar w:fldCharType="separate"/>
      </w:r>
      <w:r>
        <w:t>1</w:t>
      </w:r>
      <w:r>
        <w:fldChar w:fldCharType="end"/>
      </w:r>
      <w:r>
        <w:fldChar w:fldCharType="end"/>
      </w:r>
    </w:p>
    <w:p>
      <w:pPr>
        <w:pStyle w:val="9"/>
        <w:tabs>
          <w:tab w:val="right" w:leader="dot" w:pos="9062"/>
        </w:tabs>
        <w:rPr>
          <w:rFonts w:asciiTheme="minorHAnsi" w:hAnsiTheme="minorHAnsi" w:eastAsiaTheme="minorEastAsia" w:cstheme="minorBidi"/>
          <w:b w:val="0"/>
          <w:bCs w:val="0"/>
          <w:sz w:val="21"/>
          <w:szCs w:val="22"/>
        </w:rPr>
      </w:pPr>
      <w:r>
        <w:fldChar w:fldCharType="begin"/>
      </w:r>
      <w:r>
        <w:instrText xml:space="preserve"> HYPERLINK \l "_Toc58853845" </w:instrText>
      </w:r>
      <w:r>
        <w:fldChar w:fldCharType="separate"/>
      </w:r>
      <w:r>
        <w:rPr>
          <w:rStyle w:val="15"/>
        </w:rPr>
        <w:t>2  术语和定义</w:t>
      </w:r>
      <w:r>
        <w:tab/>
      </w:r>
      <w:r>
        <w:fldChar w:fldCharType="begin"/>
      </w:r>
      <w:r>
        <w:instrText xml:space="preserve"> PAGEREF _Toc58853845 \h </w:instrText>
      </w:r>
      <w:r>
        <w:fldChar w:fldCharType="separate"/>
      </w:r>
      <w:r>
        <w:t>3</w:t>
      </w:r>
      <w:r>
        <w:fldChar w:fldCharType="end"/>
      </w:r>
      <w:r>
        <w:fldChar w:fldCharType="end"/>
      </w:r>
    </w:p>
    <w:p>
      <w:pPr>
        <w:pStyle w:val="9"/>
        <w:tabs>
          <w:tab w:val="right" w:leader="dot" w:pos="9062"/>
        </w:tabs>
        <w:rPr>
          <w:rFonts w:asciiTheme="minorHAnsi" w:hAnsiTheme="minorHAnsi" w:eastAsiaTheme="minorEastAsia" w:cstheme="minorBidi"/>
          <w:b w:val="0"/>
          <w:bCs w:val="0"/>
          <w:sz w:val="21"/>
          <w:szCs w:val="22"/>
        </w:rPr>
      </w:pPr>
      <w:r>
        <w:fldChar w:fldCharType="begin"/>
      </w:r>
      <w:r>
        <w:instrText xml:space="preserve"> HYPERLINK \l "_Toc58853846" </w:instrText>
      </w:r>
      <w:r>
        <w:fldChar w:fldCharType="separate"/>
      </w:r>
      <w:r>
        <w:rPr>
          <w:rStyle w:val="15"/>
        </w:rPr>
        <w:t>3  总体布置</w:t>
      </w:r>
      <w:r>
        <w:tab/>
      </w:r>
      <w:r>
        <w:fldChar w:fldCharType="begin"/>
      </w:r>
      <w:r>
        <w:instrText xml:space="preserve"> PAGEREF _Toc58853846 \h </w:instrText>
      </w:r>
      <w:r>
        <w:fldChar w:fldCharType="separate"/>
      </w:r>
      <w:r>
        <w:t>4</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"_Toc58853847" </w:instrText>
      </w:r>
      <w:r>
        <w:fldChar w:fldCharType="separate"/>
      </w:r>
      <w:r>
        <w:rPr>
          <w:rStyle w:val="15"/>
        </w:rPr>
        <w:t>3.1  一般规定</w:t>
      </w:r>
      <w:r>
        <w:tab/>
      </w:r>
      <w:r>
        <w:fldChar w:fldCharType="begin"/>
      </w:r>
      <w:r>
        <w:instrText xml:space="preserve"> PAGEREF _Toc58853847 \h </w:instrText>
      </w:r>
      <w:r>
        <w:fldChar w:fldCharType="separate"/>
      </w:r>
      <w:r>
        <w:t>4</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"_Toc58853848" </w:instrText>
      </w:r>
      <w:r>
        <w:fldChar w:fldCharType="separate"/>
      </w:r>
      <w:r>
        <w:rPr>
          <w:rStyle w:val="15"/>
        </w:rPr>
        <w:t>3.2  布置要求</w:t>
      </w:r>
      <w:r>
        <w:tab/>
      </w:r>
      <w:r>
        <w:fldChar w:fldCharType="begin"/>
      </w:r>
      <w:r>
        <w:instrText xml:space="preserve"> PAGEREF _Toc58853848 \h </w:instrText>
      </w:r>
      <w:r>
        <w:fldChar w:fldCharType="separate"/>
      </w:r>
      <w:r>
        <w:t>4</w:t>
      </w:r>
      <w:r>
        <w:fldChar w:fldCharType="end"/>
      </w:r>
      <w:r>
        <w:fldChar w:fldCharType="end"/>
      </w:r>
    </w:p>
    <w:p>
      <w:pPr>
        <w:pStyle w:val="9"/>
        <w:tabs>
          <w:tab w:val="right" w:leader="dot" w:pos="9062"/>
        </w:tabs>
        <w:rPr>
          <w:rFonts w:asciiTheme="minorHAnsi" w:hAnsiTheme="minorHAnsi" w:eastAsiaTheme="minorEastAsia" w:cstheme="minorBidi"/>
          <w:b w:val="0"/>
          <w:bCs w:val="0"/>
          <w:sz w:val="21"/>
          <w:szCs w:val="22"/>
        </w:rPr>
      </w:pPr>
      <w:r>
        <w:fldChar w:fldCharType="begin"/>
      </w:r>
      <w:r>
        <w:instrText xml:space="preserve"> HYPERLINK \l "_Toc58853849" </w:instrText>
      </w:r>
      <w:r>
        <w:fldChar w:fldCharType="separate"/>
      </w:r>
      <w:r>
        <w:rPr>
          <w:rStyle w:val="15"/>
        </w:rPr>
        <w:t>4  门叶结构设计</w:t>
      </w:r>
      <w:r>
        <w:tab/>
      </w:r>
      <w:r>
        <w:fldChar w:fldCharType="begin"/>
      </w:r>
      <w:r>
        <w:instrText xml:space="preserve"> PAGEREF _Toc58853849 \h </w:instrText>
      </w:r>
      <w:r>
        <w:fldChar w:fldCharType="separate"/>
      </w:r>
      <w:r>
        <w:t>6</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"_Toc58853850" </w:instrText>
      </w:r>
      <w:r>
        <w:fldChar w:fldCharType="separate"/>
      </w:r>
      <w:r>
        <w:rPr>
          <w:rStyle w:val="15"/>
        </w:rPr>
        <w:t>4.1  一般规定</w:t>
      </w:r>
      <w:r>
        <w:tab/>
      </w:r>
      <w:r>
        <w:fldChar w:fldCharType="begin"/>
      </w:r>
      <w:r>
        <w:instrText xml:space="preserve"> PAGEREF _Toc58853850 \h </w:instrText>
      </w:r>
      <w:r>
        <w:fldChar w:fldCharType="separate"/>
      </w:r>
      <w:r>
        <w:t>6</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"_Toc58853851" </w:instrText>
      </w:r>
      <w:r>
        <w:fldChar w:fldCharType="separate"/>
      </w:r>
      <w:r>
        <w:rPr>
          <w:rStyle w:val="15"/>
        </w:rPr>
        <w:t>4.2  结构设计</w:t>
      </w:r>
      <w:r>
        <w:tab/>
      </w:r>
      <w:r>
        <w:fldChar w:fldCharType="begin"/>
      </w:r>
      <w:r>
        <w:instrText xml:space="preserve"> PAGEREF _Toc58853851 \h </w:instrText>
      </w:r>
      <w:r>
        <w:fldChar w:fldCharType="separate"/>
      </w:r>
      <w:r>
        <w:t>6</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"_Toc58853852" </w:instrText>
      </w:r>
      <w:r>
        <w:fldChar w:fldCharType="separate"/>
      </w:r>
      <w:r>
        <w:rPr>
          <w:rStyle w:val="15"/>
        </w:rPr>
        <w:t>4.3  门叶设计</w:t>
      </w:r>
      <w:r>
        <w:tab/>
      </w:r>
      <w:r>
        <w:fldChar w:fldCharType="begin"/>
      </w:r>
      <w:r>
        <w:instrText xml:space="preserve"> PAGEREF _Toc58853852 \h </w:instrText>
      </w:r>
      <w:r>
        <w:fldChar w:fldCharType="separate"/>
      </w:r>
      <w:r>
        <w:t>6</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"_Toc58853853" </w:instrText>
      </w:r>
      <w:r>
        <w:fldChar w:fldCharType="separate"/>
      </w:r>
      <w:r>
        <w:rPr>
          <w:rStyle w:val="15"/>
        </w:rPr>
        <w:t>4.4  梁格设计</w:t>
      </w:r>
      <w:r>
        <w:tab/>
      </w:r>
      <w:r>
        <w:fldChar w:fldCharType="begin"/>
      </w:r>
      <w:r>
        <w:instrText xml:space="preserve"> PAGEREF _Toc58853853 \h </w:instrText>
      </w:r>
      <w:r>
        <w:fldChar w:fldCharType="separate"/>
      </w:r>
      <w:r>
        <w:t>6</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"_Toc58853854" </w:instrText>
      </w:r>
      <w:r>
        <w:fldChar w:fldCharType="separate"/>
      </w:r>
      <w:r>
        <w:rPr>
          <w:rStyle w:val="15"/>
        </w:rPr>
        <w:t>4.5  底轴设计</w:t>
      </w:r>
      <w:r>
        <w:tab/>
      </w:r>
      <w:r>
        <w:fldChar w:fldCharType="begin"/>
      </w:r>
      <w:r>
        <w:instrText xml:space="preserve"> PAGEREF _Toc58853854 \h </w:instrText>
      </w:r>
      <w:r>
        <w:fldChar w:fldCharType="separate"/>
      </w:r>
      <w:r>
        <w:t>7</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"_Toc58853855" </w:instrText>
      </w:r>
      <w:r>
        <w:fldChar w:fldCharType="separate"/>
      </w:r>
      <w:r>
        <w:rPr>
          <w:rStyle w:val="15"/>
        </w:rPr>
        <w:t>4.6  支撑杆设计</w:t>
      </w:r>
      <w:r>
        <w:tab/>
      </w:r>
      <w:r>
        <w:fldChar w:fldCharType="begin"/>
      </w:r>
      <w:r>
        <w:instrText xml:space="preserve"> PAGEREF _Toc58853855 \h </w:instrText>
      </w:r>
      <w:r>
        <w:fldChar w:fldCharType="separate"/>
      </w:r>
      <w:r>
        <w:t>7</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"_Toc58853856" </w:instrText>
      </w:r>
      <w:r>
        <w:fldChar w:fldCharType="separate"/>
      </w:r>
      <w:r>
        <w:rPr>
          <w:rStyle w:val="15"/>
        </w:rPr>
        <w:t>4.7  其他要求</w:t>
      </w:r>
      <w:r>
        <w:tab/>
      </w:r>
      <w:r>
        <w:fldChar w:fldCharType="begin"/>
      </w:r>
      <w:r>
        <w:instrText xml:space="preserve"> PAGEREF _Toc58853856 \h </w:instrText>
      </w:r>
      <w:r>
        <w:fldChar w:fldCharType="separate"/>
      </w:r>
      <w:r>
        <w:t>7</w:t>
      </w:r>
      <w:r>
        <w:fldChar w:fldCharType="end"/>
      </w:r>
      <w:r>
        <w:fldChar w:fldCharType="end"/>
      </w:r>
    </w:p>
    <w:p>
      <w:pPr>
        <w:pStyle w:val="9"/>
        <w:tabs>
          <w:tab w:val="right" w:leader="dot" w:pos="9062"/>
        </w:tabs>
        <w:rPr>
          <w:rFonts w:asciiTheme="minorHAnsi" w:hAnsiTheme="minorHAnsi" w:eastAsiaTheme="minorEastAsia" w:cstheme="minorBidi"/>
          <w:b w:val="0"/>
          <w:bCs w:val="0"/>
          <w:sz w:val="21"/>
          <w:szCs w:val="22"/>
        </w:rPr>
      </w:pPr>
      <w:r>
        <w:fldChar w:fldCharType="begin"/>
      </w:r>
      <w:r>
        <w:instrText xml:space="preserve"> HYPERLINK \l "_Toc58853857" </w:instrText>
      </w:r>
      <w:r>
        <w:fldChar w:fldCharType="separate"/>
      </w:r>
      <w:r>
        <w:rPr>
          <w:rStyle w:val="15"/>
        </w:rPr>
        <w:t>5  止水装置</w:t>
      </w:r>
      <w:r>
        <w:tab/>
      </w:r>
      <w:r>
        <w:fldChar w:fldCharType="begin"/>
      </w:r>
      <w:r>
        <w:instrText xml:space="preserve"> PAGEREF _Toc58853857 \h </w:instrText>
      </w:r>
      <w:r>
        <w:fldChar w:fldCharType="separate"/>
      </w:r>
      <w:r>
        <w:t>8</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"_Toc58853858" </w:instrText>
      </w:r>
      <w:r>
        <w:fldChar w:fldCharType="separate"/>
      </w:r>
      <w:r>
        <w:rPr>
          <w:rStyle w:val="15"/>
        </w:rPr>
        <w:t>5.1  一般规定</w:t>
      </w:r>
      <w:r>
        <w:tab/>
      </w:r>
      <w:r>
        <w:fldChar w:fldCharType="begin"/>
      </w:r>
      <w:r>
        <w:instrText xml:space="preserve"> PAGEREF _Toc58853858 \h </w:instrText>
      </w:r>
      <w:r>
        <w:fldChar w:fldCharType="separate"/>
      </w:r>
      <w:r>
        <w:t>8</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"_Toc58853859" </w:instrText>
      </w:r>
      <w:r>
        <w:fldChar w:fldCharType="separate"/>
      </w:r>
      <w:r>
        <w:rPr>
          <w:rStyle w:val="15"/>
        </w:rPr>
        <w:t>5.2  止水橡胶</w:t>
      </w:r>
      <w:r>
        <w:tab/>
      </w:r>
      <w:r>
        <w:fldChar w:fldCharType="begin"/>
      </w:r>
      <w:r>
        <w:instrText xml:space="preserve"> PAGEREF _Toc58853859 \h </w:instrText>
      </w:r>
      <w:r>
        <w:fldChar w:fldCharType="separate"/>
      </w:r>
      <w:r>
        <w:t>8</w:t>
      </w:r>
      <w:r>
        <w:fldChar w:fldCharType="end"/>
      </w:r>
      <w:r>
        <w:fldChar w:fldCharType="end"/>
      </w:r>
    </w:p>
    <w:p>
      <w:pPr>
        <w:pStyle w:val="9"/>
        <w:tabs>
          <w:tab w:val="right" w:leader="dot" w:pos="9062"/>
        </w:tabs>
        <w:rPr>
          <w:rFonts w:asciiTheme="minorHAnsi" w:hAnsiTheme="minorHAnsi" w:eastAsiaTheme="minorEastAsia" w:cstheme="minorBidi"/>
          <w:b w:val="0"/>
          <w:bCs w:val="0"/>
          <w:sz w:val="21"/>
          <w:szCs w:val="22"/>
        </w:rPr>
      </w:pPr>
      <w:r>
        <w:fldChar w:fldCharType="begin"/>
      </w:r>
      <w:r>
        <w:instrText xml:space="preserve"> HYPERLINK \l "_Toc58853860" </w:instrText>
      </w:r>
      <w:r>
        <w:fldChar w:fldCharType="separate"/>
      </w:r>
      <w:r>
        <w:rPr>
          <w:rStyle w:val="15"/>
        </w:rPr>
        <w:t>6  液压系统</w:t>
      </w:r>
      <w:r>
        <w:tab/>
      </w:r>
      <w:r>
        <w:fldChar w:fldCharType="begin"/>
      </w:r>
      <w:r>
        <w:instrText xml:space="preserve"> PAGEREF _Toc58853860 \h </w:instrText>
      </w:r>
      <w:r>
        <w:fldChar w:fldCharType="separate"/>
      </w:r>
      <w:r>
        <w:t>9</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"_Toc58853861" </w:instrText>
      </w:r>
      <w:r>
        <w:fldChar w:fldCharType="separate"/>
      </w:r>
      <w:r>
        <w:rPr>
          <w:rStyle w:val="15"/>
        </w:rPr>
        <w:t>6.1 一般规定</w:t>
      </w:r>
      <w:r>
        <w:tab/>
      </w:r>
      <w:r>
        <w:fldChar w:fldCharType="begin"/>
      </w:r>
      <w:r>
        <w:instrText xml:space="preserve"> PAGEREF _Toc58853861 \h </w:instrText>
      </w:r>
      <w:r>
        <w:fldChar w:fldCharType="separate"/>
      </w:r>
      <w:r>
        <w:t>9</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"_Toc58853862" </w:instrText>
      </w:r>
      <w:r>
        <w:fldChar w:fldCharType="separate"/>
      </w:r>
      <w:r>
        <w:rPr>
          <w:rStyle w:val="15"/>
        </w:rPr>
        <w:t>6.2 液压装置</w:t>
      </w:r>
      <w:r>
        <w:tab/>
      </w:r>
      <w:r>
        <w:fldChar w:fldCharType="begin"/>
      </w:r>
      <w:r>
        <w:instrText xml:space="preserve"> PAGEREF _Toc58853862 \h </w:instrText>
      </w:r>
      <w:r>
        <w:fldChar w:fldCharType="separate"/>
      </w:r>
      <w:r>
        <w:t>9</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"_Toc58853863" </w:instrText>
      </w:r>
      <w:r>
        <w:fldChar w:fldCharType="separate"/>
      </w:r>
      <w:r>
        <w:rPr>
          <w:rStyle w:val="15"/>
        </w:rPr>
        <w:t>6.3 液压管道</w:t>
      </w:r>
      <w:r>
        <w:tab/>
      </w:r>
      <w:r>
        <w:fldChar w:fldCharType="begin"/>
      </w:r>
      <w:r>
        <w:instrText xml:space="preserve"> PAGEREF _Toc58853863 \h </w:instrText>
      </w:r>
      <w:r>
        <w:fldChar w:fldCharType="separate"/>
      </w:r>
      <w:r>
        <w:t>9</w:t>
      </w:r>
      <w:r>
        <w:fldChar w:fldCharType="end"/>
      </w:r>
      <w:r>
        <w:fldChar w:fldCharType="end"/>
      </w:r>
    </w:p>
    <w:p>
      <w:pPr>
        <w:pStyle w:val="9"/>
        <w:tabs>
          <w:tab w:val="right" w:leader="dot" w:pos="9062"/>
        </w:tabs>
        <w:rPr>
          <w:rFonts w:asciiTheme="minorHAnsi" w:hAnsiTheme="minorHAnsi" w:eastAsiaTheme="minorEastAsia" w:cstheme="minorBidi"/>
          <w:b w:val="0"/>
          <w:bCs w:val="0"/>
          <w:sz w:val="21"/>
          <w:szCs w:val="22"/>
        </w:rPr>
      </w:pPr>
      <w:r>
        <w:fldChar w:fldCharType="begin"/>
      </w:r>
      <w:r>
        <w:instrText xml:space="preserve"> HYPERLINK \l "_Toc58853864" </w:instrText>
      </w:r>
      <w:r>
        <w:fldChar w:fldCharType="separate"/>
      </w:r>
      <w:r>
        <w:rPr>
          <w:rStyle w:val="15"/>
        </w:rPr>
        <w:t>7 控制系统</w:t>
      </w:r>
      <w:r>
        <w:tab/>
      </w:r>
      <w:r>
        <w:fldChar w:fldCharType="begin"/>
      </w:r>
      <w:r>
        <w:instrText xml:space="preserve"> PAGEREF _Toc58853864 \h </w:instrText>
      </w:r>
      <w:r>
        <w:fldChar w:fldCharType="separate"/>
      </w:r>
      <w:r>
        <w:t>10</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"_Toc58853865" </w:instrText>
      </w:r>
      <w:r>
        <w:fldChar w:fldCharType="separate"/>
      </w:r>
      <w:r>
        <w:rPr>
          <w:rStyle w:val="15"/>
        </w:rPr>
        <w:t>7.1  一般规定</w:t>
      </w:r>
      <w:r>
        <w:tab/>
      </w:r>
      <w:r>
        <w:fldChar w:fldCharType="begin"/>
      </w:r>
      <w:r>
        <w:instrText xml:space="preserve"> PAGEREF _Toc58853865 \h </w:instrText>
      </w:r>
      <w:r>
        <w:fldChar w:fldCharType="separate"/>
      </w:r>
      <w:r>
        <w:t>10</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"_Toc58853866" </w:instrText>
      </w:r>
      <w:r>
        <w:fldChar w:fldCharType="separate"/>
      </w:r>
      <w:r>
        <w:rPr>
          <w:rStyle w:val="15"/>
        </w:rPr>
        <w:t>7.2  集中监控</w:t>
      </w:r>
      <w:r>
        <w:tab/>
      </w:r>
      <w:r>
        <w:fldChar w:fldCharType="begin"/>
      </w:r>
      <w:r>
        <w:instrText xml:space="preserve"> PAGEREF _Toc58853866 \h </w:instrText>
      </w:r>
      <w:r>
        <w:fldChar w:fldCharType="separate"/>
      </w:r>
      <w:r>
        <w:t>10</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"_Toc58853867" </w:instrText>
      </w:r>
      <w:r>
        <w:fldChar w:fldCharType="separate"/>
      </w:r>
      <w:r>
        <w:rPr>
          <w:rStyle w:val="15"/>
        </w:rPr>
        <w:t>7.3  自动控制</w:t>
      </w:r>
      <w:r>
        <w:tab/>
      </w:r>
      <w:r>
        <w:fldChar w:fldCharType="begin"/>
      </w:r>
      <w:r>
        <w:instrText xml:space="preserve"> PAGEREF _Toc58853867 \h </w:instrText>
      </w:r>
      <w:r>
        <w:fldChar w:fldCharType="separate"/>
      </w:r>
      <w:r>
        <w:t>10</w:t>
      </w:r>
      <w:r>
        <w:fldChar w:fldCharType="end"/>
      </w:r>
      <w:r>
        <w:fldChar w:fldCharType="end"/>
      </w:r>
    </w:p>
    <w:p>
      <w:pPr>
        <w:pStyle w:val="9"/>
        <w:tabs>
          <w:tab w:val="right" w:leader="dot" w:pos="9062"/>
        </w:tabs>
        <w:rPr>
          <w:rFonts w:asciiTheme="minorHAnsi" w:hAnsiTheme="minorHAnsi" w:eastAsiaTheme="minorEastAsia" w:cstheme="minorBidi"/>
          <w:b w:val="0"/>
          <w:bCs w:val="0"/>
          <w:sz w:val="21"/>
          <w:szCs w:val="22"/>
        </w:rPr>
      </w:pPr>
      <w:r>
        <w:fldChar w:fldCharType="begin"/>
      </w:r>
      <w:r>
        <w:instrText xml:space="preserve"> HYPERLINK \l "_Toc58853868" </w:instrText>
      </w:r>
      <w:r>
        <w:fldChar w:fldCharType="separate"/>
      </w:r>
      <w:r>
        <w:rPr>
          <w:rStyle w:val="15"/>
        </w:rPr>
        <w:t>8 配电设计</w:t>
      </w:r>
      <w:r>
        <w:tab/>
      </w:r>
      <w:r>
        <w:fldChar w:fldCharType="begin"/>
      </w:r>
      <w:r>
        <w:instrText xml:space="preserve"> PAGEREF _Toc58853868 \h </w:instrText>
      </w:r>
      <w:r>
        <w:fldChar w:fldCharType="separate"/>
      </w:r>
      <w:r>
        <w:t>11</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"_Toc58853869" </w:instrText>
      </w:r>
      <w:r>
        <w:fldChar w:fldCharType="separate"/>
      </w:r>
      <w:r>
        <w:rPr>
          <w:rStyle w:val="15"/>
        </w:rPr>
        <w:t>8.1  一般规定</w:t>
      </w:r>
      <w:r>
        <w:tab/>
      </w:r>
      <w:r>
        <w:fldChar w:fldCharType="begin"/>
      </w:r>
      <w:r>
        <w:instrText xml:space="preserve"> PAGEREF _Toc58853869 \h </w:instrText>
      </w:r>
      <w:r>
        <w:fldChar w:fldCharType="separate"/>
      </w:r>
      <w:r>
        <w:t>11</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"_Toc58853870" </w:instrText>
      </w:r>
      <w:r>
        <w:fldChar w:fldCharType="separate"/>
      </w:r>
      <w:r>
        <w:rPr>
          <w:rStyle w:val="15"/>
        </w:rPr>
        <w:t>8.2  防雷接地</w:t>
      </w:r>
      <w:r>
        <w:tab/>
      </w:r>
      <w:r>
        <w:fldChar w:fldCharType="begin"/>
      </w:r>
      <w:r>
        <w:instrText xml:space="preserve"> PAGEREF _Toc58853870 \h </w:instrText>
      </w:r>
      <w:r>
        <w:fldChar w:fldCharType="separate"/>
      </w:r>
      <w:r>
        <w:t>11</w:t>
      </w:r>
      <w:r>
        <w:fldChar w:fldCharType="end"/>
      </w:r>
      <w:r>
        <w:fldChar w:fldCharType="end"/>
      </w:r>
    </w:p>
    <w:p>
      <w:pPr>
        <w:pStyle w:val="10"/>
        <w:tabs>
          <w:tab w:val="right" w:leader="dot" w:pos="9062"/>
        </w:tabs>
        <w:ind w:firstLine="420"/>
        <w:rPr>
          <w:rFonts w:asciiTheme="minorHAnsi" w:hAnsiTheme="minorHAnsi" w:eastAsiaTheme="minorEastAsia" w:cstheme="minorBidi"/>
          <w:iCs w:val="0"/>
          <w:szCs w:val="22"/>
        </w:rPr>
      </w:pPr>
      <w:r>
        <w:fldChar w:fldCharType="begin"/>
      </w:r>
      <w:r>
        <w:instrText xml:space="preserve"> HYPERLINK \l "_Toc58853871" </w:instrText>
      </w:r>
      <w:r>
        <w:fldChar w:fldCharType="separate"/>
      </w:r>
      <w:r>
        <w:rPr>
          <w:rStyle w:val="15"/>
        </w:rPr>
        <w:t>8.3  照明设计</w:t>
      </w:r>
      <w:r>
        <w:tab/>
      </w:r>
      <w:r>
        <w:fldChar w:fldCharType="begin"/>
      </w:r>
      <w:r>
        <w:instrText xml:space="preserve"> PAGEREF _Toc58853871 \h </w:instrText>
      </w:r>
      <w:r>
        <w:fldChar w:fldCharType="separate"/>
      </w:r>
      <w:r>
        <w:t>11</w:t>
      </w:r>
      <w:r>
        <w:fldChar w:fldCharType="end"/>
      </w:r>
      <w:r>
        <w:fldChar w:fldCharType="end"/>
      </w:r>
    </w:p>
    <w:p>
      <w:pPr>
        <w:pStyle w:val="9"/>
        <w:tabs>
          <w:tab w:val="right" w:leader="dot" w:pos="9072"/>
        </w:tabs>
        <w:spacing w:line="380" w:lineRule="exact"/>
        <w:rPr>
          <w:rFonts w:ascii="Calibri Light"/>
          <w:szCs w:val="24"/>
        </w:rPr>
      </w:pPr>
      <w:r>
        <w:rPr>
          <w:rFonts w:ascii="Calibri Light"/>
          <w:szCs w:val="24"/>
        </w:rPr>
        <w:fldChar w:fldCharType="end"/>
      </w:r>
    </w:p>
    <w:p/>
    <w:p>
      <w:pPr>
        <w:sectPr>
          <w:footerReference r:id="rId4" w:type="default"/>
          <w:pgSz w:w="11906" w:h="16838"/>
          <w:pgMar w:top="1417" w:right="1417" w:bottom="1417" w:left="1417" w:header="851" w:footer="850" w:gutter="0"/>
          <w:pgNumType w:start="1"/>
          <w:cols w:space="720" w:num="1"/>
          <w:docGrid w:type="lines" w:linePitch="312" w:charSpace="0"/>
        </w:sectPr>
      </w:pPr>
    </w:p>
    <w:p>
      <w:pPr>
        <w:pStyle w:val="4"/>
      </w:pPr>
      <w:bookmarkStart w:id="0" w:name="_Toc5224"/>
      <w:bookmarkStart w:id="1" w:name="_Toc9125"/>
      <w:bookmarkStart w:id="2" w:name="_Toc58853844"/>
      <w:r>
        <w:rPr>
          <w:rFonts w:hint="eastAsia"/>
        </w:rPr>
        <w:t>1  总则</w:t>
      </w:r>
      <w:bookmarkEnd w:id="0"/>
      <w:bookmarkEnd w:id="1"/>
      <w:bookmarkEnd w:id="2"/>
    </w:p>
    <w:p>
      <w:r>
        <w:rPr>
          <w:b/>
          <w:bCs/>
        </w:rPr>
        <w:t>1.0.1</w:t>
      </w:r>
      <w:r>
        <w:rPr>
          <w:rFonts w:hint="eastAsia"/>
          <w:b/>
          <w:bCs/>
        </w:rPr>
        <w:t xml:space="preserve"> </w:t>
      </w:r>
      <w:r>
        <w:rPr>
          <w:rFonts w:hint="eastAsia"/>
        </w:rPr>
        <w:t xml:space="preserve"> 为规范液压升降坝设计，做到技术先进、安全可靠、经济合理、实用耐久、管理方便、环境协调，特制定本标准。</w:t>
      </w:r>
    </w:p>
    <w:p>
      <w:r>
        <w:rPr>
          <w:b/>
          <w:bCs/>
        </w:rPr>
        <w:t xml:space="preserve">1.0.2 </w:t>
      </w:r>
      <w:r>
        <w:rPr>
          <w:rFonts w:hint="eastAsia"/>
        </w:rPr>
        <w:t xml:space="preserve"> 本标准适应于挡水高度</w:t>
      </w:r>
      <w:r>
        <w:t>6m</w:t>
      </w:r>
      <w:r>
        <w:rPr>
          <w:rFonts w:hint="eastAsia"/>
        </w:rPr>
        <w:t>及以下的钢结构液压升降坝。</w:t>
      </w:r>
    </w:p>
    <w:p>
      <w:r>
        <w:rPr>
          <w:b/>
          <w:bCs/>
        </w:rPr>
        <w:t>1.0.</w:t>
      </w:r>
      <w:r>
        <w:rPr>
          <w:rFonts w:hint="eastAsia"/>
          <w:b/>
          <w:bCs/>
        </w:rPr>
        <w:t>3</w:t>
      </w:r>
      <w:r>
        <w:rPr>
          <w:b/>
          <w:bCs/>
        </w:rPr>
        <w:t xml:space="preserve"> </w:t>
      </w:r>
      <w:r>
        <w:rPr>
          <w:rFonts w:hint="eastAsia"/>
        </w:rPr>
        <w:t xml:space="preserve"> 液压升降坝工程等别、建筑物级别和洪水标准、设计使用年限及耐久性要求、安全监测设计应分别符合SL 252 《水利水电工程等级划分及洪水标准》、SL 654 《水利水电工程合理使用年限及耐久性设计规范》以及SL 725 《水利水电工程安全监测设计规范》的规定。</w:t>
      </w:r>
    </w:p>
    <w:p>
      <w:r>
        <w:rPr>
          <w:rFonts w:hint="eastAsia"/>
          <w:b/>
          <w:bCs/>
        </w:rPr>
        <w:t>1.0.</w:t>
      </w:r>
      <w:r>
        <w:rPr>
          <w:b/>
          <w:bCs/>
        </w:rPr>
        <w:t>4</w:t>
      </w:r>
      <w:r>
        <w:rPr>
          <w:rFonts w:hint="eastAsia"/>
          <w:b/>
          <w:bCs/>
        </w:rPr>
        <w:t xml:space="preserve"> </w:t>
      </w:r>
      <w:r>
        <w:rPr>
          <w:rFonts w:hint="eastAsia"/>
        </w:rPr>
        <w:t xml:space="preserve"> 本标准主要引用下列标准：</w:t>
      </w:r>
    </w:p>
    <w:p>
      <w:pPr>
        <w:pStyle w:val="22"/>
      </w:pPr>
      <w:bookmarkStart w:id="3" w:name="_Hlk57803619"/>
      <w:r>
        <w:t>GB/T 699</w:t>
      </w:r>
      <w:r>
        <w:rPr>
          <w:rFonts w:hint="eastAsia"/>
        </w:rPr>
        <w:t xml:space="preserve"> 优质碳素结构钢</w:t>
      </w:r>
    </w:p>
    <w:p>
      <w:pPr>
        <w:pStyle w:val="22"/>
      </w:pPr>
      <w:r>
        <w:t xml:space="preserve">GB/T 983 </w:t>
      </w:r>
      <w:r>
        <w:rPr>
          <w:rFonts w:hint="eastAsia"/>
        </w:rPr>
        <w:t>不锈钢焊条</w:t>
      </w:r>
    </w:p>
    <w:p>
      <w:pPr>
        <w:pStyle w:val="22"/>
      </w:pPr>
      <w:r>
        <w:rPr>
          <w:rFonts w:hint="eastAsia"/>
        </w:rPr>
        <w:t>GB 8923</w:t>
      </w:r>
      <w:r>
        <w:rPr>
          <w:rFonts w:hint="eastAsia" w:ascii="宋体" w:hAnsi="宋体"/>
          <w:sz w:val="21"/>
          <w:szCs w:val="21"/>
        </w:rPr>
        <w:t xml:space="preserve"> </w:t>
      </w:r>
      <w:r>
        <w:rPr>
          <w:rFonts w:hint="eastAsia"/>
        </w:rPr>
        <w:t>涂装前钢材表面锈蚀等级和除锈等级</w:t>
      </w:r>
    </w:p>
    <w:p>
      <w:pPr>
        <w:pStyle w:val="22"/>
      </w:pPr>
      <w:r>
        <w:t>GB/T</w:t>
      </w:r>
      <w:r>
        <w:rPr>
          <w:rFonts w:hint="eastAsia"/>
        </w:rPr>
        <w:t xml:space="preserve"> </w:t>
      </w:r>
      <w:r>
        <w:t>14173</w:t>
      </w:r>
      <w:r>
        <w:rPr>
          <w:rFonts w:hint="eastAsia"/>
        </w:rPr>
        <w:t xml:space="preserve">  水利水电工程钢闸门制造、安装及验收规范</w:t>
      </w:r>
    </w:p>
    <w:p>
      <w:pPr>
        <w:pStyle w:val="22"/>
      </w:pPr>
      <w:r>
        <w:rPr>
          <w:rFonts w:hint="eastAsia"/>
        </w:rPr>
        <w:t xml:space="preserve">GB </w:t>
      </w:r>
      <w:r>
        <w:t xml:space="preserve">50017 </w:t>
      </w:r>
      <w:r>
        <w:rPr>
          <w:rFonts w:hint="eastAsia"/>
        </w:rPr>
        <w:t>钢结构设计规范</w:t>
      </w:r>
    </w:p>
    <w:p>
      <w:pPr>
        <w:pStyle w:val="22"/>
      </w:pPr>
      <w:r>
        <w:rPr>
          <w:rFonts w:hint="eastAsia"/>
        </w:rPr>
        <w:t>GB 50034 建筑照明设计标准</w:t>
      </w:r>
    </w:p>
    <w:p>
      <w:pPr>
        <w:pStyle w:val="22"/>
      </w:pPr>
      <w:r>
        <w:rPr>
          <w:rFonts w:hint="eastAsia"/>
        </w:rPr>
        <w:t>GB</w:t>
      </w:r>
      <w:r>
        <w:t xml:space="preserve"> </w:t>
      </w:r>
      <w:r>
        <w:rPr>
          <w:rFonts w:hint="eastAsia"/>
        </w:rPr>
        <w:t>50265 泵站设计规范</w:t>
      </w:r>
    </w:p>
    <w:p>
      <w:pPr>
        <w:pStyle w:val="22"/>
      </w:pPr>
      <w:r>
        <w:rPr>
          <w:rFonts w:hint="eastAsia"/>
        </w:rPr>
        <w:t>GB/T 5117 非合金钢及细晶粒钢焊条</w:t>
      </w:r>
    </w:p>
    <w:p>
      <w:pPr>
        <w:pStyle w:val="22"/>
      </w:pPr>
      <w:r>
        <w:t>GB/T 5118</w:t>
      </w:r>
      <w:r>
        <w:rPr>
          <w:rFonts w:hint="eastAsia"/>
        </w:rPr>
        <w:t>热强钢焊条</w:t>
      </w:r>
    </w:p>
    <w:p>
      <w:pPr>
        <w:pStyle w:val="22"/>
      </w:pPr>
      <w:r>
        <w:rPr>
          <w:rFonts w:hint="eastAsia"/>
        </w:rPr>
        <w:t>GB 51247 水工建筑物抗震设计标准</w:t>
      </w:r>
    </w:p>
    <w:p>
      <w:pPr>
        <w:pStyle w:val="22"/>
      </w:pPr>
      <w:r>
        <w:t>SL</w:t>
      </w:r>
      <w:r>
        <w:rPr>
          <w:rFonts w:hint="eastAsia"/>
        </w:rPr>
        <w:t xml:space="preserve"> </w:t>
      </w:r>
      <w:r>
        <w:t xml:space="preserve">41  </w:t>
      </w:r>
      <w:r>
        <w:rPr>
          <w:rFonts w:hint="eastAsia"/>
        </w:rPr>
        <w:t>水利水电工程启闭机设计规范</w:t>
      </w:r>
    </w:p>
    <w:p>
      <w:pPr>
        <w:pStyle w:val="22"/>
      </w:pPr>
      <w:r>
        <w:t>SL</w:t>
      </w:r>
      <w:r>
        <w:rPr>
          <w:rFonts w:hint="eastAsia"/>
        </w:rPr>
        <w:t xml:space="preserve"> </w:t>
      </w:r>
      <w:r>
        <w:t>74</w:t>
      </w:r>
      <w:r>
        <w:rPr>
          <w:rFonts w:hint="eastAsia"/>
        </w:rPr>
        <w:t xml:space="preserve">  水利水电工程钢闸门设计规范</w:t>
      </w:r>
    </w:p>
    <w:p>
      <w:pPr>
        <w:pStyle w:val="22"/>
      </w:pPr>
      <w:r>
        <w:rPr>
          <w:rFonts w:hint="eastAsia"/>
        </w:rPr>
        <w:t>SL</w:t>
      </w:r>
      <w:r>
        <w:t xml:space="preserve"> </w:t>
      </w:r>
      <w:r>
        <w:rPr>
          <w:rFonts w:hint="eastAsia"/>
        </w:rPr>
        <w:t>252  水利水电工程等级划分及洪水标准</w:t>
      </w:r>
    </w:p>
    <w:p>
      <w:pPr>
        <w:pStyle w:val="22"/>
      </w:pPr>
      <w:r>
        <w:t>SL</w:t>
      </w:r>
      <w:r>
        <w:rPr>
          <w:rFonts w:hint="eastAsia"/>
        </w:rPr>
        <w:t xml:space="preserve"> </w:t>
      </w:r>
      <w:r>
        <w:t>265</w:t>
      </w:r>
      <w:r>
        <w:rPr>
          <w:rFonts w:hint="eastAsia"/>
        </w:rPr>
        <w:t xml:space="preserve">  水闸设计规范</w:t>
      </w:r>
    </w:p>
    <w:p>
      <w:pPr>
        <w:pStyle w:val="22"/>
      </w:pPr>
      <w:r>
        <w:rPr>
          <w:rFonts w:hint="eastAsia"/>
        </w:rPr>
        <w:t>SL 587 水利水电工程接地设计规范</w:t>
      </w:r>
    </w:p>
    <w:p>
      <w:pPr>
        <w:pStyle w:val="22"/>
      </w:pPr>
      <w:r>
        <w:t>SL</w:t>
      </w:r>
      <w:r>
        <w:rPr>
          <w:rFonts w:hint="eastAsia"/>
        </w:rPr>
        <w:t xml:space="preserve"> 6</w:t>
      </w:r>
      <w:r>
        <w:t>12</w:t>
      </w:r>
      <w:r>
        <w:rPr>
          <w:rFonts w:hint="eastAsia"/>
        </w:rPr>
        <w:t xml:space="preserve">  水利水电工程自动化设计规范</w:t>
      </w:r>
    </w:p>
    <w:p>
      <w:pPr>
        <w:pStyle w:val="22"/>
      </w:pPr>
      <w:r>
        <w:rPr>
          <w:rFonts w:hint="eastAsia"/>
        </w:rPr>
        <w:t>SL 654  水利水电工程合理使用年限及耐久性设计规范</w:t>
      </w:r>
    </w:p>
    <w:p>
      <w:pPr>
        <w:pStyle w:val="22"/>
      </w:pPr>
      <w:r>
        <w:rPr>
          <w:rFonts w:hint="eastAsia"/>
        </w:rPr>
        <w:t>SL 725  水利水电工程安全监测设计规范</w:t>
      </w:r>
    </w:p>
    <w:p>
      <w:pPr>
        <w:pStyle w:val="22"/>
      </w:pPr>
      <w:r>
        <w:t>SL</w:t>
      </w:r>
      <w:r>
        <w:rPr>
          <w:rFonts w:hint="eastAsia"/>
        </w:rPr>
        <w:t xml:space="preserve"> </w:t>
      </w:r>
      <w:r>
        <w:t>753</w:t>
      </w:r>
      <w:r>
        <w:rPr>
          <w:rFonts w:hint="eastAsia"/>
        </w:rPr>
        <w:t xml:space="preserve">  水力自控翻板闸门技术规范</w:t>
      </w:r>
    </w:p>
    <w:bookmarkEnd w:id="3"/>
    <w:p>
      <w:bookmarkStart w:id="4" w:name="_Toc8121"/>
      <w:bookmarkStart w:id="5" w:name="_Toc2116"/>
      <w:bookmarkStart w:id="6" w:name="_Toc9698"/>
      <w:r>
        <w:rPr>
          <w:b/>
          <w:bCs/>
        </w:rPr>
        <w:t>1.0.</w:t>
      </w:r>
      <w:bookmarkEnd w:id="4"/>
      <w:bookmarkEnd w:id="5"/>
      <w:bookmarkEnd w:id="6"/>
      <w:r>
        <w:rPr>
          <w:rFonts w:hint="eastAsia"/>
          <w:b/>
          <w:bCs/>
        </w:rPr>
        <w:t>5</w:t>
      </w:r>
      <w:r>
        <w:rPr>
          <w:b/>
          <w:bCs/>
        </w:rPr>
        <w:t xml:space="preserve"> </w:t>
      </w:r>
      <w:r>
        <w:rPr>
          <w:rFonts w:hint="eastAsia"/>
        </w:rPr>
        <w:t xml:space="preserve"> 液压升降坝设计除应符合本标准外，尚应符合国家现行有关技术标准的规定。</w:t>
      </w:r>
    </w:p>
    <w:p/>
    <w:p/>
    <w:p/>
    <w:p/>
    <w:p>
      <w:pPr>
        <w:rPr>
          <w:w w:val="98"/>
          <w:szCs w:val="24"/>
        </w:rPr>
      </w:pPr>
    </w:p>
    <w:p>
      <w:pPr>
        <w:pStyle w:val="4"/>
      </w:pPr>
      <w:bookmarkStart w:id="7" w:name="_Toc8114"/>
      <w:bookmarkStart w:id="8" w:name="_Toc4451"/>
      <w:bookmarkStart w:id="9" w:name="_Toc22366"/>
      <w:bookmarkStart w:id="10" w:name="_Toc26540"/>
      <w:r>
        <w:br w:type="page"/>
      </w:r>
      <w:bookmarkStart w:id="11" w:name="_Toc58853845"/>
      <w:r>
        <w:rPr>
          <w:rFonts w:hint="eastAsia"/>
        </w:rPr>
        <w:t>2  术语和定义</w:t>
      </w:r>
      <w:bookmarkEnd w:id="7"/>
      <w:bookmarkEnd w:id="8"/>
      <w:bookmarkEnd w:id="9"/>
      <w:bookmarkEnd w:id="10"/>
      <w:bookmarkEnd w:id="11"/>
    </w:p>
    <w:p>
      <w:bookmarkStart w:id="12" w:name="_Toc11258"/>
      <w:bookmarkStart w:id="13" w:name="_Toc1196"/>
      <w:bookmarkStart w:id="14" w:name="_Toc15765"/>
      <w:bookmarkStart w:id="15" w:name="_Toc14484"/>
      <w:bookmarkStart w:id="16" w:name="_Toc28678"/>
      <w:bookmarkStart w:id="17" w:name="_Toc19208"/>
      <w:bookmarkStart w:id="18" w:name="_Toc27019"/>
      <w:r>
        <w:rPr>
          <w:rFonts w:hint="eastAsia"/>
          <w:b/>
          <w:bCs/>
        </w:rPr>
        <w:t xml:space="preserve">2.0.1 </w:t>
      </w:r>
      <w:r>
        <w:rPr>
          <w:rFonts w:hint="eastAsia"/>
        </w:rPr>
        <w:t xml:space="preserve"> 液压升降坝  hydraulic lifting dam</w:t>
      </w:r>
      <w:bookmarkEnd w:id="12"/>
      <w:bookmarkEnd w:id="13"/>
      <w:bookmarkEnd w:id="14"/>
      <w:bookmarkEnd w:id="15"/>
      <w:bookmarkEnd w:id="16"/>
    </w:p>
    <w:p>
      <w:pPr>
        <w:pStyle w:val="22"/>
      </w:pPr>
      <w:r>
        <w:rPr>
          <w:rFonts w:hint="eastAsia"/>
        </w:rPr>
        <w:t>通过液压装置产生支撑推力，使得门叶能沿底轴转动从而达到挡水、泄水以及调节河道蓄水位等功能的升降坝。</w:t>
      </w:r>
    </w:p>
    <w:p>
      <w:bookmarkStart w:id="19" w:name="_Toc10343"/>
      <w:bookmarkStart w:id="20" w:name="_Toc4230"/>
      <w:bookmarkStart w:id="21" w:name="_Toc14956"/>
      <w:r>
        <w:rPr>
          <w:rFonts w:hint="eastAsia"/>
          <w:b/>
          <w:bCs/>
        </w:rPr>
        <w:t>2.0.2</w:t>
      </w:r>
      <w:r>
        <w:rPr>
          <w:rFonts w:hint="eastAsia"/>
        </w:rPr>
        <w:t xml:space="preserve">  门叶  </w:t>
      </w:r>
      <w:r>
        <w:t>w</w:t>
      </w:r>
      <w:r>
        <w:rPr>
          <w:rFonts w:hint="eastAsia"/>
        </w:rPr>
        <w:t>ater blocking gate leaf</w:t>
      </w:r>
      <w:bookmarkEnd w:id="17"/>
      <w:bookmarkEnd w:id="18"/>
      <w:bookmarkEnd w:id="19"/>
      <w:bookmarkEnd w:id="20"/>
      <w:bookmarkEnd w:id="21"/>
    </w:p>
    <w:p>
      <w:pPr>
        <w:ind w:firstLine="480" w:firstLineChars="200"/>
      </w:pPr>
      <w:bookmarkStart w:id="22" w:name="_Toc531"/>
      <w:bookmarkStart w:id="23" w:name="_Toc15929"/>
      <w:bookmarkStart w:id="24" w:name="_Toc27359"/>
      <w:bookmarkStart w:id="25" w:name="_Toc50447617"/>
      <w:bookmarkStart w:id="26" w:name="_Toc23032"/>
      <w:bookmarkStart w:id="27" w:name="_Toc50447735"/>
      <w:bookmarkStart w:id="28" w:name="_Toc50446853"/>
      <w:bookmarkStart w:id="29" w:name="_Toc28538"/>
      <w:r>
        <w:rPr>
          <w:rFonts w:hint="eastAsia"/>
        </w:rPr>
        <w:t>用于直接挡水的结构部件。</w:t>
      </w:r>
      <w:r>
        <w:rPr>
          <w:rFonts w:hint="eastAsia"/>
        </w:rPr>
        <w:tab/>
      </w:r>
    </w:p>
    <w:p>
      <w:r>
        <w:rPr>
          <w:rFonts w:hint="eastAsia"/>
          <w:b/>
          <w:bCs/>
        </w:rPr>
        <w:t>2.0.3</w:t>
      </w:r>
      <w:r>
        <w:rPr>
          <w:rFonts w:hint="eastAsia"/>
        </w:rPr>
        <w:t xml:space="preserve">  支铰座  </w:t>
      </w:r>
      <w:bookmarkEnd w:id="22"/>
      <w:bookmarkEnd w:id="23"/>
      <w:bookmarkEnd w:id="24"/>
      <w:bookmarkEnd w:id="25"/>
      <w:bookmarkEnd w:id="26"/>
      <w:bookmarkEnd w:id="27"/>
      <w:bookmarkEnd w:id="28"/>
      <w:bookmarkEnd w:id="29"/>
      <w:r>
        <w:t>h</w:t>
      </w:r>
      <w:r>
        <w:rPr>
          <w:rFonts w:hint="eastAsia"/>
        </w:rPr>
        <w:t>inged</w:t>
      </w:r>
      <w:r>
        <w:t xml:space="preserve"> supporting</w:t>
      </w:r>
    </w:p>
    <w:p>
      <w:pPr>
        <w:pStyle w:val="22"/>
        <w:ind w:firstLine="537" w:firstLineChars="224"/>
      </w:pPr>
      <w:r>
        <w:rPr>
          <w:rFonts w:hint="eastAsia"/>
        </w:rPr>
        <w:t>门叶与土建基础的连接件。</w:t>
      </w:r>
    </w:p>
    <w:p>
      <w:bookmarkStart w:id="30" w:name="_Toc27031"/>
      <w:bookmarkStart w:id="31" w:name="_Toc21249"/>
      <w:bookmarkStart w:id="32" w:name="_Toc11957"/>
      <w:bookmarkStart w:id="33" w:name="_Toc23597"/>
      <w:bookmarkStart w:id="34" w:name="_Toc21"/>
      <w:r>
        <w:rPr>
          <w:rFonts w:hint="eastAsia"/>
          <w:b/>
          <w:bCs/>
        </w:rPr>
        <w:t xml:space="preserve">2.0.4 </w:t>
      </w:r>
      <w:r>
        <w:rPr>
          <w:rFonts w:hint="eastAsia"/>
        </w:rPr>
        <w:t xml:space="preserve"> 止水橡胶  </w:t>
      </w:r>
      <w:r>
        <w:t>r</w:t>
      </w:r>
      <w:r>
        <w:rPr>
          <w:rFonts w:hint="eastAsia"/>
        </w:rPr>
        <w:t>ubber water-stop</w:t>
      </w:r>
      <w:bookmarkEnd w:id="30"/>
      <w:bookmarkEnd w:id="31"/>
      <w:bookmarkEnd w:id="32"/>
      <w:bookmarkEnd w:id="33"/>
      <w:bookmarkEnd w:id="34"/>
    </w:p>
    <w:p>
      <w:pPr>
        <w:pStyle w:val="22"/>
        <w:ind w:firstLine="537" w:firstLineChars="224"/>
      </w:pPr>
      <w:r>
        <w:rPr>
          <w:rFonts w:hint="eastAsia"/>
        </w:rPr>
        <w:t>门叶之间、门叶与底板以及门叶与边墙之间的止水装置。</w:t>
      </w:r>
    </w:p>
    <w:p>
      <w:bookmarkStart w:id="35" w:name="_Toc2507"/>
      <w:bookmarkStart w:id="36" w:name="_Toc13979"/>
      <w:bookmarkStart w:id="37" w:name="_Toc15936"/>
      <w:bookmarkStart w:id="38" w:name="_Toc27309"/>
      <w:bookmarkStart w:id="39" w:name="_Toc20364"/>
      <w:r>
        <w:rPr>
          <w:rFonts w:hint="eastAsia"/>
          <w:b/>
          <w:bCs/>
        </w:rPr>
        <w:t xml:space="preserve">2.0.5 </w:t>
      </w:r>
      <w:r>
        <w:rPr>
          <w:rFonts w:hint="eastAsia"/>
        </w:rPr>
        <w:t xml:space="preserve"> 支撑杆  </w:t>
      </w:r>
      <w:r>
        <w:t>s</w:t>
      </w:r>
      <w:r>
        <w:rPr>
          <w:rFonts w:hint="eastAsia"/>
        </w:rPr>
        <w:t>upport rod device</w:t>
      </w:r>
      <w:bookmarkEnd w:id="35"/>
      <w:bookmarkEnd w:id="36"/>
      <w:bookmarkEnd w:id="37"/>
      <w:bookmarkEnd w:id="38"/>
      <w:bookmarkEnd w:id="39"/>
    </w:p>
    <w:p>
      <w:pPr>
        <w:pStyle w:val="22"/>
        <w:ind w:firstLine="537" w:firstLineChars="224"/>
      </w:pPr>
      <w:r>
        <w:rPr>
          <w:rFonts w:hint="eastAsia"/>
        </w:rPr>
        <w:t>用于支撑门叶，与门叶形成“人”字形结构的支撑装置。</w:t>
      </w:r>
    </w:p>
    <w:p>
      <w:bookmarkStart w:id="40" w:name="_Toc11256"/>
      <w:bookmarkStart w:id="41" w:name="_Toc17259"/>
      <w:bookmarkStart w:id="42" w:name="_Toc18406"/>
      <w:bookmarkStart w:id="43" w:name="_Toc22394"/>
      <w:bookmarkStart w:id="44" w:name="_Toc6191"/>
      <w:r>
        <w:rPr>
          <w:rFonts w:hint="eastAsia"/>
          <w:b/>
          <w:bCs/>
        </w:rPr>
        <w:t xml:space="preserve">2.0.6 </w:t>
      </w:r>
      <w:r>
        <w:rPr>
          <w:rFonts w:hint="eastAsia"/>
        </w:rPr>
        <w:t xml:space="preserve"> 锁定装置  </w:t>
      </w:r>
      <w:r>
        <w:t>l</w:t>
      </w:r>
      <w:r>
        <w:rPr>
          <w:rFonts w:hint="eastAsia"/>
        </w:rPr>
        <w:t>ocking device</w:t>
      </w:r>
      <w:bookmarkEnd w:id="40"/>
      <w:bookmarkEnd w:id="41"/>
      <w:bookmarkEnd w:id="42"/>
      <w:bookmarkEnd w:id="43"/>
      <w:bookmarkEnd w:id="44"/>
    </w:p>
    <w:p>
      <w:pPr>
        <w:ind w:firstLine="480" w:firstLineChars="200"/>
      </w:pPr>
      <w:bookmarkStart w:id="45" w:name="_Toc6159"/>
      <w:bookmarkStart w:id="46" w:name="_Toc19329"/>
      <w:bookmarkStart w:id="47" w:name="_Toc14831"/>
      <w:bookmarkStart w:id="48" w:name="_Toc11823"/>
      <w:bookmarkStart w:id="49" w:name="_Toc2490"/>
      <w:r>
        <w:rPr>
          <w:rFonts w:hint="eastAsia"/>
        </w:rPr>
        <w:t>将门叶锁定于某一位置的装置。</w:t>
      </w:r>
      <w:r>
        <w:rPr>
          <w:rFonts w:hint="eastAsia"/>
        </w:rPr>
        <w:tab/>
      </w:r>
    </w:p>
    <w:p>
      <w:r>
        <w:rPr>
          <w:rFonts w:hint="eastAsia"/>
          <w:b/>
          <w:bCs/>
        </w:rPr>
        <w:t xml:space="preserve">2.0.7 </w:t>
      </w:r>
      <w:r>
        <w:rPr>
          <w:rFonts w:hint="eastAsia"/>
        </w:rPr>
        <w:t xml:space="preserve"> 液压装置  </w:t>
      </w:r>
      <w:r>
        <w:t>h</w:t>
      </w:r>
      <w:r>
        <w:rPr>
          <w:rFonts w:hint="eastAsia"/>
        </w:rPr>
        <w:t>ydraulic h</w:t>
      </w:r>
      <w:bookmarkEnd w:id="45"/>
      <w:bookmarkEnd w:id="46"/>
      <w:bookmarkEnd w:id="47"/>
      <w:bookmarkEnd w:id="48"/>
      <w:bookmarkEnd w:id="49"/>
      <w:r>
        <w:t>oist</w:t>
      </w:r>
    </w:p>
    <w:p>
      <w:pPr>
        <w:pStyle w:val="22"/>
      </w:pPr>
      <w:r>
        <w:rPr>
          <w:rFonts w:hint="eastAsia"/>
        </w:rPr>
        <w:t>由液压缸、封缸盖板、液压缸套和支架组成，通过支撑推力控制门叶升降的装置。调节门叶与土建基础的夹角。</w:t>
      </w:r>
    </w:p>
    <w:p>
      <w:pPr>
        <w:tabs>
          <w:tab w:val="center" w:pos="4201"/>
          <w:tab w:val="right" w:leader="dot" w:pos="9298"/>
        </w:tabs>
        <w:spacing w:line="360" w:lineRule="auto"/>
        <w:jc w:val="center"/>
        <w:rPr>
          <w:rFonts w:hAnsi="宋体" w:cs="宋体"/>
          <w:szCs w:val="24"/>
        </w:rPr>
      </w:pPr>
      <w:r>
        <w:drawing>
          <wp:inline distT="0" distB="0" distL="0" distR="0">
            <wp:extent cx="4081145" cy="2921000"/>
            <wp:effectExtent l="0" t="0" r="0" b="0"/>
            <wp:docPr id="1"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81145" cy="2921000"/>
                    </a:xfrm>
                    <a:prstGeom prst="rect">
                      <a:avLst/>
                    </a:prstGeom>
                    <a:noFill/>
                    <a:ln>
                      <a:noFill/>
                    </a:ln>
                  </pic:spPr>
                </pic:pic>
              </a:graphicData>
            </a:graphic>
          </wp:inline>
        </w:drawing>
      </w:r>
    </w:p>
    <w:p>
      <w:pPr>
        <w:pStyle w:val="4"/>
      </w:pPr>
      <w:bookmarkStart w:id="50" w:name="_Toc19426"/>
      <w:bookmarkStart w:id="51" w:name="_Toc24121"/>
      <w:bookmarkStart w:id="52" w:name="_Toc8397"/>
      <w:bookmarkStart w:id="53" w:name="_Toc31564"/>
      <w:bookmarkStart w:id="54" w:name="_Toc50447991"/>
      <w:bookmarkStart w:id="55" w:name="_Toc50447740"/>
      <w:bookmarkStart w:id="56" w:name="_Toc50447898"/>
      <w:bookmarkStart w:id="57" w:name="_Toc50447622"/>
      <w:r>
        <w:rPr>
          <w:rFonts w:hint="eastAsia"/>
        </w:rPr>
        <w:br w:type="page"/>
      </w:r>
      <w:bookmarkStart w:id="58" w:name="_Toc58853846"/>
      <w:r>
        <w:rPr>
          <w:rFonts w:hint="eastAsia"/>
        </w:rPr>
        <w:t>3  总体布置</w:t>
      </w:r>
      <w:bookmarkEnd w:id="50"/>
      <w:bookmarkEnd w:id="51"/>
      <w:bookmarkEnd w:id="52"/>
      <w:bookmarkEnd w:id="53"/>
      <w:bookmarkEnd w:id="58"/>
    </w:p>
    <w:p>
      <w:pPr>
        <w:pStyle w:val="5"/>
      </w:pPr>
      <w:bookmarkStart w:id="59" w:name="_Toc58853847"/>
      <w:bookmarkStart w:id="60" w:name="_Toc18149"/>
      <w:bookmarkStart w:id="61" w:name="_Toc32007"/>
      <w:r>
        <w:rPr>
          <w:rFonts w:hint="eastAsia"/>
        </w:rPr>
        <w:t>3.1  一般规定</w:t>
      </w:r>
      <w:bookmarkEnd w:id="54"/>
      <w:bookmarkEnd w:id="55"/>
      <w:bookmarkEnd w:id="56"/>
      <w:bookmarkEnd w:id="57"/>
      <w:bookmarkEnd w:id="59"/>
      <w:bookmarkEnd w:id="60"/>
      <w:bookmarkEnd w:id="61"/>
    </w:p>
    <w:p>
      <w:pPr>
        <w:pStyle w:val="22"/>
        <w:ind w:firstLine="0" w:firstLineChars="0"/>
      </w:pPr>
      <w:r>
        <w:rPr>
          <w:rFonts w:hint="eastAsia"/>
          <w:b/>
          <w:bCs/>
        </w:rPr>
        <w:t>3</w:t>
      </w:r>
      <w:r>
        <w:rPr>
          <w:b/>
          <w:bCs/>
        </w:rPr>
        <w:t xml:space="preserve">.1.1 </w:t>
      </w:r>
      <w:r>
        <w:t xml:space="preserve"> </w:t>
      </w:r>
      <w:r>
        <w:rPr>
          <w:rFonts w:hint="eastAsia"/>
        </w:rPr>
        <w:t>液压升降坝总体布置参照SL 265、SL</w:t>
      </w:r>
      <w:r>
        <w:t xml:space="preserve"> </w:t>
      </w:r>
      <w:r>
        <w:rPr>
          <w:rFonts w:hint="eastAsia"/>
        </w:rPr>
        <w:t>753以及GB</w:t>
      </w:r>
      <w:r>
        <w:t xml:space="preserve"> </w:t>
      </w:r>
      <w:r>
        <w:rPr>
          <w:rFonts w:hint="eastAsia"/>
        </w:rPr>
        <w:t>50265执行。</w:t>
      </w:r>
    </w:p>
    <w:p>
      <w:r>
        <w:rPr>
          <w:rFonts w:hint="eastAsia"/>
          <w:b/>
          <w:bCs/>
        </w:rPr>
        <w:t>3.1.</w:t>
      </w:r>
      <w:r>
        <w:rPr>
          <w:b/>
          <w:bCs/>
        </w:rPr>
        <w:t>2</w:t>
      </w:r>
      <w:r>
        <w:rPr>
          <w:rFonts w:hint="eastAsia"/>
        </w:rPr>
        <w:t xml:space="preserve">  总体布置应根据当地水利规划、环境及生态要求，结合河道及沟渠的地形地质、运行管理及周边环境等条件综合考虑。</w:t>
      </w:r>
    </w:p>
    <w:p>
      <w:r>
        <w:rPr>
          <w:rFonts w:hint="eastAsia"/>
          <w:b/>
          <w:bCs/>
        </w:rPr>
        <w:t>3.1.3</w:t>
      </w:r>
      <w:r>
        <w:rPr>
          <w:rFonts w:hint="eastAsia"/>
        </w:rPr>
        <w:t xml:space="preserve">  液压升降坝设计主要收集以下资料：</w:t>
      </w:r>
    </w:p>
    <w:p>
      <w:pPr>
        <w:pStyle w:val="22"/>
        <w:ind w:firstLine="482"/>
      </w:pPr>
      <w:r>
        <w:rPr>
          <w:b/>
          <w:bCs/>
        </w:rPr>
        <w:t>1</w:t>
      </w:r>
      <w:r>
        <w:rPr>
          <w:rFonts w:hint="eastAsia"/>
        </w:rPr>
        <w:t xml:space="preserve">  规划设计条件：河道上下游水位、泄洪流量等；</w:t>
      </w:r>
    </w:p>
    <w:p>
      <w:pPr>
        <w:pStyle w:val="22"/>
        <w:ind w:firstLine="482"/>
      </w:pPr>
      <w:r>
        <w:rPr>
          <w:rFonts w:hint="eastAsia"/>
          <w:b/>
          <w:bCs/>
        </w:rPr>
        <w:t>2</w:t>
      </w:r>
      <w:r>
        <w:rPr>
          <w:rFonts w:hint="eastAsia"/>
        </w:rPr>
        <w:t xml:space="preserve">  液压升降坝结构设计条件：挡水高度、溢流高度以及升降速度等；</w:t>
      </w:r>
    </w:p>
    <w:p>
      <w:pPr>
        <w:pStyle w:val="22"/>
        <w:ind w:firstLine="482"/>
      </w:pPr>
      <w:r>
        <w:rPr>
          <w:rFonts w:hint="eastAsia"/>
          <w:b/>
          <w:bCs/>
        </w:rPr>
        <w:t xml:space="preserve">3 </w:t>
      </w:r>
      <w:r>
        <w:rPr>
          <w:rFonts w:hint="eastAsia"/>
        </w:rPr>
        <w:t xml:space="preserve"> 水文地质条件、地震设防烈度、河流泥沙含量以及漂浮物等；</w:t>
      </w:r>
    </w:p>
    <w:p>
      <w:pPr>
        <w:pStyle w:val="22"/>
        <w:ind w:firstLine="482"/>
      </w:pPr>
      <w:r>
        <w:rPr>
          <w:rFonts w:hint="eastAsia"/>
          <w:b/>
          <w:bCs/>
        </w:rPr>
        <w:t>4</w:t>
      </w:r>
      <w:r>
        <w:rPr>
          <w:rFonts w:hint="eastAsia"/>
        </w:rPr>
        <w:t xml:space="preserve">  严寒地区应收集冰情、防冻措施等资料。</w:t>
      </w:r>
    </w:p>
    <w:p>
      <w:r>
        <w:rPr>
          <w:rFonts w:hint="eastAsia"/>
          <w:b/>
          <w:bCs/>
        </w:rPr>
        <w:t>3.</w:t>
      </w:r>
      <w:r>
        <w:rPr>
          <w:b/>
          <w:bCs/>
        </w:rPr>
        <w:t>1.</w:t>
      </w:r>
      <w:r>
        <w:rPr>
          <w:rFonts w:hint="eastAsia"/>
          <w:b/>
          <w:bCs/>
        </w:rPr>
        <w:t xml:space="preserve">4 </w:t>
      </w:r>
      <w:r>
        <w:rPr>
          <w:rFonts w:hint="eastAsia"/>
        </w:rPr>
        <w:t xml:space="preserve"> 液压升降坝宜采用宽顶堰形式，堰底板顶面应比上游河床高程提高0.2m～0.4m。堰体结构应满足SL 265的整体稳定性要求，且满足门叶、底轴、预埋件、支撑杆、锁定装置以及液压装置等构件的安装和检修要求。</w:t>
      </w:r>
    </w:p>
    <w:p>
      <w:pPr>
        <w:rPr>
          <w:highlight w:val="yellow"/>
        </w:rPr>
      </w:pPr>
      <w:r>
        <w:rPr>
          <w:rFonts w:hint="eastAsia"/>
          <w:b/>
        </w:rPr>
        <w:t xml:space="preserve">3.1.5 </w:t>
      </w:r>
      <w:r>
        <w:rPr>
          <w:rFonts w:hint="eastAsia"/>
        </w:rPr>
        <w:t xml:space="preserve"> 坝长超过100</w:t>
      </w:r>
      <w:r>
        <w:t xml:space="preserve"> </w:t>
      </w:r>
      <w:r>
        <w:rPr>
          <w:rFonts w:hint="eastAsia"/>
        </w:rPr>
        <w:t>m时，可根据检修要求设置隔墩。</w:t>
      </w:r>
    </w:p>
    <w:p>
      <w:pPr>
        <w:pStyle w:val="5"/>
        <w:ind w:firstLine="3286" w:firstLineChars="1169"/>
        <w:jc w:val="both"/>
      </w:pPr>
      <w:bookmarkStart w:id="62" w:name="_Toc50447741"/>
      <w:bookmarkStart w:id="63" w:name="_Toc50447623"/>
      <w:bookmarkStart w:id="64" w:name="_Toc50447992"/>
      <w:bookmarkStart w:id="65" w:name="_Toc50447899"/>
      <w:bookmarkStart w:id="66" w:name="_Toc58853848"/>
      <w:bookmarkStart w:id="67" w:name="_Toc23374"/>
      <w:bookmarkStart w:id="68" w:name="_Toc23634"/>
      <w:r>
        <w:rPr>
          <w:rFonts w:hint="eastAsia"/>
        </w:rPr>
        <w:t>3.2  布置</w:t>
      </w:r>
      <w:bookmarkEnd w:id="62"/>
      <w:bookmarkEnd w:id="63"/>
      <w:bookmarkEnd w:id="64"/>
      <w:bookmarkEnd w:id="65"/>
      <w:r>
        <w:rPr>
          <w:rFonts w:hint="eastAsia"/>
        </w:rPr>
        <w:t>要求</w:t>
      </w:r>
      <w:bookmarkEnd w:id="66"/>
      <w:bookmarkEnd w:id="67"/>
      <w:bookmarkEnd w:id="68"/>
    </w:p>
    <w:p>
      <w:r>
        <w:rPr>
          <w:rFonts w:hint="eastAsia"/>
          <w:b/>
          <w:bCs/>
        </w:rPr>
        <w:t>3.</w:t>
      </w:r>
      <w:r>
        <w:rPr>
          <w:b/>
          <w:bCs/>
        </w:rPr>
        <w:t>2.1</w:t>
      </w:r>
      <w:r>
        <w:t xml:space="preserve">  </w:t>
      </w:r>
      <w:r>
        <w:rPr>
          <w:rFonts w:hint="eastAsia"/>
        </w:rPr>
        <w:t>工程布置应包括坝体、翼墙、上下游连接段、消能防冲以及液压泵站等内容。</w:t>
      </w:r>
    </w:p>
    <w:p>
      <w:r>
        <w:rPr>
          <w:rFonts w:hint="eastAsia"/>
          <w:b/>
          <w:bCs/>
        </w:rPr>
        <w:t>3.</w:t>
      </w:r>
      <w:r>
        <w:rPr>
          <w:b/>
          <w:bCs/>
        </w:rPr>
        <w:t>2.2</w:t>
      </w:r>
      <w:r>
        <w:t xml:space="preserve"> </w:t>
      </w:r>
      <w:r>
        <w:rPr>
          <w:rFonts w:hint="eastAsia"/>
        </w:rPr>
        <w:t xml:space="preserve"> 液压泵站应由泵室、控制室组成。需油量较大的液压升降坝应单独设置储油室。泵室、控制室和储油室应分区设置。</w:t>
      </w:r>
    </w:p>
    <w:p>
      <w:pPr>
        <w:pStyle w:val="22"/>
        <w:ind w:firstLine="482"/>
      </w:pPr>
      <w:r>
        <w:rPr>
          <w:rFonts w:hint="eastAsia"/>
          <w:b/>
          <w:bCs/>
        </w:rPr>
        <w:t xml:space="preserve">1 </w:t>
      </w:r>
      <w:r>
        <w:t xml:space="preserve"> </w:t>
      </w:r>
      <w:r>
        <w:rPr>
          <w:rFonts w:hint="eastAsia"/>
        </w:rPr>
        <w:t>泵室大小根据泵站设备数量和规格设计，泵室应预留输油管路槽，泵站四周应留有0.8</w:t>
      </w:r>
      <w:r>
        <w:t xml:space="preserve"> </w:t>
      </w:r>
      <w:r>
        <w:rPr>
          <w:rFonts w:hint="eastAsia"/>
        </w:rPr>
        <w:t>m~1.0</w:t>
      </w:r>
      <w:r>
        <w:t xml:space="preserve"> </w:t>
      </w:r>
      <w:r>
        <w:rPr>
          <w:rFonts w:hint="eastAsia"/>
        </w:rPr>
        <w:t>m维修通道。</w:t>
      </w:r>
    </w:p>
    <w:p>
      <w:pPr>
        <w:pStyle w:val="22"/>
        <w:ind w:firstLine="482"/>
      </w:pPr>
      <w:r>
        <w:rPr>
          <w:rFonts w:hint="eastAsia"/>
          <w:b/>
          <w:bCs/>
        </w:rPr>
        <w:t xml:space="preserve">2 </w:t>
      </w:r>
      <w:r>
        <w:rPr>
          <w:rFonts w:hint="eastAsia"/>
        </w:rPr>
        <w:t xml:space="preserve"> 控制室宜靠近岸墙布置，且能在控制室内观察到坝体升降和挡水运行情况。当控制室布置在地面以上时，室内地面高程宜高于校核洪水位；当控制室布置在地面以下或</w:t>
      </w:r>
      <w:r>
        <w:t>岸墙空箱内</w:t>
      </w:r>
      <w:r>
        <w:rPr>
          <w:rFonts w:hint="eastAsia"/>
        </w:rPr>
        <w:t>时，应有防潮、防水、通风、采光等措施，且应根据监测需要设置摄像装置。</w:t>
      </w:r>
    </w:p>
    <w:p>
      <w:pPr>
        <w:pStyle w:val="22"/>
        <w:ind w:firstLine="482"/>
      </w:pPr>
      <w:r>
        <w:rPr>
          <w:rFonts w:hint="eastAsia"/>
          <w:b/>
          <w:bCs/>
        </w:rPr>
        <w:t xml:space="preserve">3 </w:t>
      </w:r>
      <w:r>
        <w:rPr>
          <w:rFonts w:hint="eastAsia"/>
        </w:rPr>
        <w:t xml:space="preserve"> 储油室应采用防火墙和甲级防火门，且设置高150mm的不易燃烧、不易渗漏的门槛，地面不得设置地漏。应采用耐火极限不低于2.00h的隔热墙和1.50h的不燃烧体楼板与其它部位隔开；控制房内应设置储油间，储油量不应大于8h。</w:t>
      </w:r>
    </w:p>
    <w:p>
      <w:pPr>
        <w:pStyle w:val="22"/>
      </w:pPr>
    </w:p>
    <w:p>
      <w:pPr>
        <w:pStyle w:val="4"/>
      </w:pPr>
      <w:bookmarkStart w:id="69" w:name="_Toc50447744"/>
      <w:bookmarkStart w:id="70" w:name="_Toc7376"/>
      <w:bookmarkStart w:id="71" w:name="_Toc2889"/>
      <w:bookmarkStart w:id="72" w:name="_Toc50447902"/>
      <w:bookmarkStart w:id="73" w:name="_Toc50447626"/>
      <w:bookmarkStart w:id="74" w:name="_Toc237"/>
      <w:bookmarkStart w:id="75" w:name="_Toc50447995"/>
      <w:bookmarkStart w:id="76" w:name="_Toc27726"/>
      <w:r>
        <w:rPr>
          <w:rFonts w:hint="eastAsia"/>
        </w:rPr>
        <w:br w:type="page"/>
      </w:r>
      <w:bookmarkStart w:id="77" w:name="_Toc58853849"/>
      <w:r>
        <w:rPr>
          <w:rFonts w:hint="eastAsia"/>
        </w:rPr>
        <w:t>4  门叶结构设计</w:t>
      </w:r>
      <w:bookmarkEnd w:id="69"/>
      <w:bookmarkEnd w:id="70"/>
      <w:bookmarkEnd w:id="71"/>
      <w:bookmarkEnd w:id="72"/>
      <w:bookmarkEnd w:id="73"/>
      <w:bookmarkEnd w:id="74"/>
      <w:bookmarkEnd w:id="75"/>
      <w:bookmarkEnd w:id="76"/>
      <w:bookmarkEnd w:id="77"/>
    </w:p>
    <w:p>
      <w:pPr>
        <w:pStyle w:val="5"/>
      </w:pPr>
      <w:bookmarkStart w:id="78" w:name="_Toc58853850"/>
      <w:r>
        <w:rPr>
          <w:rFonts w:hint="eastAsia"/>
        </w:rPr>
        <w:t>4.1  一般规定</w:t>
      </w:r>
      <w:bookmarkEnd w:id="78"/>
    </w:p>
    <w:p>
      <w:r>
        <w:rPr>
          <w:rFonts w:hint="eastAsia"/>
          <w:b/>
          <w:bCs/>
        </w:rPr>
        <w:t>4.1.</w:t>
      </w:r>
      <w:r>
        <w:rPr>
          <w:b/>
          <w:bCs/>
        </w:rPr>
        <w:t xml:space="preserve">1  </w:t>
      </w:r>
      <w:r>
        <w:rPr>
          <w:rFonts w:hint="eastAsia"/>
        </w:rPr>
        <w:t>荷载组合及其运行工况应满足SL 74要求。</w:t>
      </w:r>
    </w:p>
    <w:p>
      <w:r>
        <w:rPr>
          <w:rFonts w:hint="eastAsia"/>
          <w:b/>
          <w:bCs/>
        </w:rPr>
        <w:t>4.1.</w:t>
      </w:r>
      <w:r>
        <w:rPr>
          <w:b/>
          <w:bCs/>
        </w:rPr>
        <w:t>2</w:t>
      </w:r>
      <w:r>
        <w:rPr>
          <w:rFonts w:hint="eastAsia"/>
        </w:rPr>
        <w:t xml:space="preserve">  有局部降坝泄水要求的液压升降坝，应考虑水流脉动荷载的影响。</w:t>
      </w:r>
    </w:p>
    <w:p>
      <w:r>
        <w:rPr>
          <w:rFonts w:hint="eastAsia"/>
          <w:b/>
          <w:bCs/>
        </w:rPr>
        <w:t>4.1</w:t>
      </w:r>
      <w:r>
        <w:rPr>
          <w:b/>
          <w:bCs/>
        </w:rPr>
        <w:t>.3</w:t>
      </w:r>
      <w:r>
        <w:rPr>
          <w:rFonts w:hint="eastAsia"/>
          <w:b/>
          <w:bCs/>
        </w:rPr>
        <w:t xml:space="preserve"> </w:t>
      </w:r>
      <w:r>
        <w:rPr>
          <w:rFonts w:hint="eastAsia"/>
        </w:rPr>
        <w:t xml:space="preserve"> 抗震设计应符合GB 51247的规定。</w:t>
      </w:r>
    </w:p>
    <w:p>
      <w:pPr>
        <w:pStyle w:val="5"/>
        <w:ind w:firstLine="630" w:firstLineChars="224"/>
      </w:pPr>
      <w:bookmarkStart w:id="79" w:name="_Toc58853851"/>
      <w:bookmarkStart w:id="80" w:name="_Toc424202613"/>
      <w:r>
        <w:rPr>
          <w:rFonts w:hint="eastAsia"/>
        </w:rPr>
        <w:t>4.2  结构设计</w:t>
      </w:r>
      <w:bookmarkEnd w:id="79"/>
    </w:p>
    <w:p>
      <w:r>
        <w:rPr>
          <w:rFonts w:hint="eastAsia"/>
          <w:b/>
          <w:bCs/>
        </w:rPr>
        <w:t xml:space="preserve">4.2.1 </w:t>
      </w:r>
      <w:r>
        <w:rPr>
          <w:rFonts w:hint="eastAsia"/>
        </w:rPr>
        <w:t xml:space="preserve"> 结构设计包括抗滑、抗</w:t>
      </w:r>
      <w:r>
        <w:t>倾</w:t>
      </w:r>
      <w:r>
        <w:rPr>
          <w:rFonts w:hint="eastAsia"/>
        </w:rPr>
        <w:t>、渗流、沉降变形等整体稳定和各类构件局部稳定。</w:t>
      </w:r>
    </w:p>
    <w:p>
      <w:r>
        <w:rPr>
          <w:rFonts w:hint="eastAsia"/>
          <w:b/>
          <w:bCs/>
        </w:rPr>
        <w:t>4.2.2</w:t>
      </w:r>
      <w:r>
        <w:rPr>
          <w:rFonts w:hint="eastAsia"/>
        </w:rPr>
        <w:t xml:space="preserve">  抗滑、</w:t>
      </w:r>
      <w:r>
        <w:t>抗倾</w:t>
      </w:r>
      <w:r>
        <w:rPr>
          <w:rFonts w:hint="eastAsia"/>
        </w:rPr>
        <w:t>、渗流、沉降稳定设计应符合SL 265的规定。</w:t>
      </w:r>
    </w:p>
    <w:p>
      <w:r>
        <w:rPr>
          <w:rFonts w:hint="eastAsia"/>
          <w:b/>
          <w:bCs/>
        </w:rPr>
        <w:t xml:space="preserve">4.2.3 </w:t>
      </w:r>
      <w:r>
        <w:rPr>
          <w:rFonts w:hint="eastAsia"/>
        </w:rPr>
        <w:t xml:space="preserve"> 支撑杆设计应先判别支撑杆是细长杆或粗短杆，再进行结构设计。</w:t>
      </w:r>
    </w:p>
    <w:p>
      <w:r>
        <w:rPr>
          <w:rFonts w:hint="eastAsia"/>
          <w:b/>
          <w:bCs/>
        </w:rPr>
        <w:t>4.2.4</w:t>
      </w:r>
      <w:r>
        <w:rPr>
          <w:rFonts w:hint="eastAsia"/>
        </w:rPr>
        <w:t xml:space="preserve">  根据运行工况，必要时应复核水流脉动作用下门体结构的安全性。</w:t>
      </w:r>
    </w:p>
    <w:p>
      <w:pPr>
        <w:pStyle w:val="5"/>
        <w:ind w:firstLine="630" w:firstLineChars="224"/>
      </w:pPr>
      <w:bookmarkStart w:id="81" w:name="_Toc58853852"/>
      <w:r>
        <w:rPr>
          <w:rFonts w:hint="eastAsia"/>
        </w:rPr>
        <w:t>4.3  门叶设计</w:t>
      </w:r>
      <w:bookmarkEnd w:id="81"/>
    </w:p>
    <w:p>
      <w:r>
        <w:rPr>
          <w:rFonts w:hint="eastAsia"/>
          <w:b/>
          <w:bCs/>
        </w:rPr>
        <w:t>4.3.1</w:t>
      </w:r>
      <w:r>
        <w:rPr>
          <w:rFonts w:hint="eastAsia"/>
        </w:rPr>
        <w:t xml:space="preserve">  门叶型式应根据工程需要和景观需求设置，可设置为直板、弧形或其他形状构造（如F形、拼接形等）。门叶与</w:t>
      </w:r>
      <w:r>
        <w:t>下游</w:t>
      </w:r>
      <w:r>
        <w:rPr>
          <w:rFonts w:hint="eastAsia"/>
        </w:rPr>
        <w:t>底板夹角</w:t>
      </w:r>
      <w:r>
        <w:t>应</w:t>
      </w:r>
      <w:r>
        <w:rPr>
          <w:rFonts w:hint="eastAsia"/>
        </w:rPr>
        <w:t>≤75°。</w:t>
      </w:r>
    </w:p>
    <w:p>
      <w:r>
        <w:rPr>
          <w:rFonts w:hint="eastAsia"/>
          <w:b/>
          <w:bCs/>
        </w:rPr>
        <w:t xml:space="preserve">4.3.2 </w:t>
      </w:r>
      <w:r>
        <w:rPr>
          <w:rFonts w:hint="eastAsia"/>
        </w:rPr>
        <w:t xml:space="preserve"> 门叶的设计应符合SL 74的规定。</w:t>
      </w:r>
    </w:p>
    <w:p>
      <w:r>
        <w:rPr>
          <w:rFonts w:hint="eastAsia"/>
          <w:b/>
          <w:bCs/>
        </w:rPr>
        <w:t>4</w:t>
      </w:r>
      <w:r>
        <w:rPr>
          <w:b/>
          <w:bCs/>
        </w:rPr>
        <w:t>.3.3</w:t>
      </w:r>
      <w:r>
        <w:t xml:space="preserve">  </w:t>
      </w:r>
      <w:r>
        <w:rPr>
          <w:rFonts w:hint="eastAsia"/>
        </w:rPr>
        <w:t>门叶应采用实腹式组合梁，宽度宜为6m～8m，挡水高度较大时宜选小值。拦水高度在2</w:t>
      </w:r>
      <w:r>
        <w:t xml:space="preserve"> </w:t>
      </w:r>
      <w:r>
        <w:rPr>
          <w:rFonts w:hint="eastAsia"/>
        </w:rPr>
        <w:t>m以下时，可不设支撑杆。</w:t>
      </w:r>
    </w:p>
    <w:p>
      <w:r>
        <w:rPr>
          <w:rFonts w:hint="eastAsia"/>
          <w:b/>
          <w:bCs/>
        </w:rPr>
        <w:t>4.</w:t>
      </w:r>
      <w:r>
        <w:rPr>
          <w:b/>
          <w:bCs/>
        </w:rPr>
        <w:t>3.4</w:t>
      </w:r>
      <w:r>
        <w:rPr>
          <w:rFonts w:hint="eastAsia"/>
        </w:rPr>
        <w:t xml:space="preserve"> 面板计算结果应考虑增加防腐富裕度。</w:t>
      </w:r>
    </w:p>
    <w:bookmarkEnd w:id="80"/>
    <w:p>
      <w:pPr>
        <w:pStyle w:val="5"/>
        <w:ind w:firstLine="630" w:firstLineChars="224"/>
        <w:rPr>
          <w:highlight w:val="yellow"/>
          <w:u w:val="single"/>
        </w:rPr>
      </w:pPr>
      <w:bookmarkStart w:id="82" w:name="_Toc31197"/>
      <w:bookmarkStart w:id="83" w:name="_Toc58853853"/>
      <w:bookmarkStart w:id="84" w:name="_Toc7804"/>
      <w:r>
        <w:rPr>
          <w:rFonts w:hint="eastAsia"/>
        </w:rPr>
        <w:t>4.4  梁格设计</w:t>
      </w:r>
      <w:bookmarkEnd w:id="82"/>
      <w:bookmarkEnd w:id="83"/>
      <w:bookmarkEnd w:id="84"/>
    </w:p>
    <w:p>
      <w:pPr>
        <w:pStyle w:val="22"/>
        <w:ind w:firstLine="0" w:firstLineChars="0"/>
      </w:pPr>
      <w:r>
        <w:rPr>
          <w:b/>
          <w:bCs/>
        </w:rPr>
        <w:t>4.4.1</w:t>
      </w:r>
      <w:r>
        <w:rPr>
          <w:rFonts w:hint="eastAsia"/>
        </w:rPr>
        <w:t xml:space="preserve">  门叶的梁系宜采用同层布置的方式，且应考虑制造、运输、安装、检修维护以及防腐施工等方面要求。</w:t>
      </w:r>
    </w:p>
    <w:p>
      <w:pPr>
        <w:pStyle w:val="22"/>
        <w:ind w:firstLine="0" w:firstLineChars="0"/>
      </w:pPr>
      <w:r>
        <w:rPr>
          <w:b/>
          <w:bCs/>
        </w:rPr>
        <w:t>4.4.2</w:t>
      </w:r>
      <w:r>
        <w:rPr>
          <w:rFonts w:hint="eastAsia"/>
        </w:rPr>
        <w:t xml:space="preserve"> </w:t>
      </w:r>
      <w:r>
        <w:t xml:space="preserve"> </w:t>
      </w:r>
      <w:r>
        <w:rPr>
          <w:rFonts w:hint="eastAsia"/>
        </w:rPr>
        <w:t>纵梁位置应按等间距布置，且满足液压缸和支撑杆布置的要求。梁的应力计算参照</w:t>
      </w:r>
      <w:r>
        <w:t>SL</w:t>
      </w:r>
      <w:r>
        <w:rPr>
          <w:rFonts w:hint="eastAsia"/>
        </w:rPr>
        <w:t xml:space="preserve"> </w:t>
      </w:r>
      <w:r>
        <w:t>74</w:t>
      </w:r>
      <w:r>
        <w:rPr>
          <w:rFonts w:hint="eastAsia"/>
        </w:rPr>
        <w:t>，门叶两侧应各设一道边梁。</w:t>
      </w:r>
    </w:p>
    <w:p>
      <w:pPr>
        <w:widowControl/>
        <w:tabs>
          <w:tab w:val="center" w:pos="4201"/>
          <w:tab w:val="right" w:leader="dot" w:pos="9298"/>
        </w:tabs>
        <w:spacing w:line="360" w:lineRule="auto"/>
        <w:jc w:val="left"/>
      </w:pPr>
      <w:bookmarkStart w:id="85" w:name="_Toc16199"/>
      <w:bookmarkStart w:id="86" w:name="_Toc20583"/>
      <w:r>
        <w:rPr>
          <w:rFonts w:hint="eastAsia" w:hAnsi="宋体" w:cs="宋体"/>
          <w:b/>
          <w:bCs/>
        </w:rPr>
        <w:t>4.4.</w:t>
      </w:r>
      <w:r>
        <w:rPr>
          <w:rFonts w:hAnsi="宋体" w:cs="宋体"/>
          <w:b/>
          <w:bCs/>
        </w:rPr>
        <w:t xml:space="preserve">3  </w:t>
      </w:r>
      <w:r>
        <w:rPr>
          <w:rFonts w:hint="eastAsia"/>
        </w:rPr>
        <w:t>支撑点布置应位于主横梁上，次横梁应按上梳下密或等间距的原则布置。</w:t>
      </w:r>
    </w:p>
    <w:p>
      <w:pPr>
        <w:widowControl/>
        <w:tabs>
          <w:tab w:val="center" w:pos="4201"/>
          <w:tab w:val="right" w:leader="dot" w:pos="9298"/>
        </w:tabs>
        <w:spacing w:line="360" w:lineRule="auto"/>
        <w:jc w:val="left"/>
      </w:pPr>
      <w:r>
        <w:rPr>
          <w:rFonts w:hint="eastAsia"/>
          <w:b/>
          <w:bCs/>
        </w:rPr>
        <w:t>4</w:t>
      </w:r>
      <w:r>
        <w:rPr>
          <w:b/>
          <w:bCs/>
        </w:rPr>
        <w:t>.4.4</w:t>
      </w:r>
      <w:r>
        <w:t xml:space="preserve">  </w:t>
      </w:r>
      <w:r>
        <w:rPr>
          <w:rFonts w:hint="eastAsia"/>
        </w:rPr>
        <w:t>受均布荷载的等跨连续梁，最大挠度发生在边跨，边跨挠度参照SL</w:t>
      </w:r>
      <w:r>
        <w:t xml:space="preserve"> </w:t>
      </w:r>
      <w:r>
        <w:rPr>
          <w:rFonts w:hint="eastAsia"/>
        </w:rPr>
        <w:t>74计算。水平隔板和顶管都是支承在纵梁上的连续梁，作用在它们上面的水压力参照S</w:t>
      </w:r>
      <w:r>
        <w:t>L 74</w:t>
      </w:r>
      <w:r>
        <w:rPr>
          <w:rFonts w:hint="eastAsia"/>
        </w:rPr>
        <w:t>计算。</w:t>
      </w:r>
    </w:p>
    <w:bookmarkEnd w:id="85"/>
    <w:bookmarkEnd w:id="86"/>
    <w:p>
      <w:pPr>
        <w:pStyle w:val="5"/>
        <w:ind w:firstLine="630" w:firstLineChars="224"/>
      </w:pPr>
      <w:bookmarkStart w:id="87" w:name="_Toc58853854"/>
      <w:bookmarkStart w:id="88" w:name="_Toc14244"/>
      <w:bookmarkStart w:id="89" w:name="_Toc17602"/>
      <w:bookmarkStart w:id="90" w:name="_Toc50447747"/>
      <w:bookmarkStart w:id="91" w:name="_Toc50447905"/>
      <w:bookmarkStart w:id="92" w:name="_Toc50447629"/>
      <w:bookmarkStart w:id="93" w:name="_Toc50447998"/>
      <w:r>
        <w:rPr>
          <w:rFonts w:hint="eastAsia"/>
        </w:rPr>
        <w:t>4.</w:t>
      </w:r>
      <w:r>
        <w:t>5</w:t>
      </w:r>
      <w:r>
        <w:rPr>
          <w:rFonts w:hint="eastAsia"/>
        </w:rPr>
        <w:t xml:space="preserve">  底轴设计</w:t>
      </w:r>
      <w:bookmarkEnd w:id="87"/>
      <w:bookmarkEnd w:id="88"/>
      <w:bookmarkEnd w:id="89"/>
      <w:bookmarkEnd w:id="90"/>
      <w:bookmarkEnd w:id="91"/>
      <w:bookmarkEnd w:id="92"/>
      <w:bookmarkEnd w:id="93"/>
    </w:p>
    <w:p>
      <w:r>
        <w:rPr>
          <w:rFonts w:hint="eastAsia"/>
          <w:b/>
          <w:bCs/>
        </w:rPr>
        <w:t>4</w:t>
      </w:r>
      <w:r>
        <w:rPr>
          <w:b/>
          <w:bCs/>
        </w:rPr>
        <w:t xml:space="preserve">.5.1 </w:t>
      </w:r>
      <w:r>
        <w:rPr>
          <w:rFonts w:hint="eastAsia"/>
        </w:rPr>
        <w:t xml:space="preserve"> 底轴材质应采用20号钢或更高标号钢材，且满足GB/T 699规定。</w:t>
      </w:r>
    </w:p>
    <w:p>
      <w:pPr>
        <w:rPr>
          <w:rFonts w:ascii="宋体" w:hAnsi="宋体" w:cs="宋体"/>
        </w:rPr>
      </w:pPr>
      <w:r>
        <w:rPr>
          <w:rFonts w:hint="eastAsia"/>
          <w:b/>
          <w:bCs/>
        </w:rPr>
        <w:t>4.</w:t>
      </w:r>
      <w:r>
        <w:rPr>
          <w:b/>
          <w:bCs/>
        </w:rPr>
        <w:t>5</w:t>
      </w:r>
      <w:r>
        <w:rPr>
          <w:rFonts w:hint="eastAsia"/>
          <w:b/>
          <w:bCs/>
        </w:rPr>
        <w:t>.</w:t>
      </w:r>
      <w:r>
        <w:rPr>
          <w:b/>
          <w:bCs/>
        </w:rPr>
        <w:t>2</w:t>
      </w:r>
      <w:r>
        <w:rPr>
          <w:rFonts w:hint="eastAsia"/>
          <w:b/>
          <w:bCs/>
        </w:rPr>
        <w:t xml:space="preserve">  </w:t>
      </w:r>
      <w:r>
        <w:rPr>
          <w:rFonts w:hint="eastAsia"/>
        </w:rPr>
        <w:t>应验算支铰座处截面的抗弯强度和弯剪应力。</w:t>
      </w:r>
    </w:p>
    <w:p>
      <w:pPr>
        <w:pStyle w:val="5"/>
        <w:ind w:firstLine="630" w:firstLineChars="224"/>
      </w:pPr>
      <w:bookmarkStart w:id="94" w:name="_Toc58853855"/>
      <w:bookmarkStart w:id="95" w:name="_Toc50447907"/>
      <w:bookmarkStart w:id="96" w:name="_Toc510"/>
      <w:bookmarkStart w:id="97" w:name="_Toc20164"/>
      <w:bookmarkStart w:id="98" w:name="_Toc50447749"/>
      <w:bookmarkStart w:id="99" w:name="_Toc50447631"/>
      <w:bookmarkStart w:id="100" w:name="_Toc50448000"/>
      <w:r>
        <w:rPr>
          <w:rFonts w:hint="eastAsia"/>
        </w:rPr>
        <w:t>4.</w:t>
      </w:r>
      <w:r>
        <w:t>6</w:t>
      </w:r>
      <w:r>
        <w:rPr>
          <w:rFonts w:hint="eastAsia"/>
        </w:rPr>
        <w:t xml:space="preserve">  支撑杆设计</w:t>
      </w:r>
      <w:bookmarkEnd w:id="94"/>
      <w:bookmarkEnd w:id="95"/>
      <w:bookmarkEnd w:id="96"/>
      <w:bookmarkEnd w:id="97"/>
      <w:bookmarkEnd w:id="98"/>
      <w:bookmarkEnd w:id="99"/>
      <w:bookmarkEnd w:id="100"/>
    </w:p>
    <w:p>
      <w:r>
        <w:rPr>
          <w:rFonts w:hint="eastAsia"/>
          <w:b/>
          <w:bCs/>
        </w:rPr>
        <w:t>4.</w:t>
      </w:r>
      <w:r>
        <w:rPr>
          <w:b/>
          <w:bCs/>
        </w:rPr>
        <w:t>6.</w:t>
      </w:r>
      <w:r>
        <w:rPr>
          <w:rFonts w:hint="eastAsia"/>
          <w:b/>
          <w:bCs/>
        </w:rPr>
        <w:t>1</w:t>
      </w:r>
      <w:r>
        <w:t xml:space="preserve"> </w:t>
      </w:r>
      <w:r>
        <w:rPr>
          <w:rFonts w:hint="eastAsia"/>
        </w:rPr>
        <w:t xml:space="preserve"> 支撑杆的材质应采用Q355或45号钢，且满足GB/T 699规定。</w:t>
      </w:r>
    </w:p>
    <w:p>
      <w:r>
        <w:rPr>
          <w:rFonts w:hint="eastAsia"/>
          <w:b/>
          <w:bCs/>
        </w:rPr>
        <w:t>4.</w:t>
      </w:r>
      <w:r>
        <w:rPr>
          <w:b/>
          <w:bCs/>
        </w:rPr>
        <w:t>6.</w:t>
      </w:r>
      <w:r>
        <w:rPr>
          <w:rFonts w:hint="eastAsia"/>
          <w:b/>
          <w:bCs/>
        </w:rPr>
        <w:t>2</w:t>
      </w:r>
      <w:r>
        <w:t xml:space="preserve"> </w:t>
      </w:r>
      <w:r>
        <w:rPr>
          <w:rFonts w:hint="eastAsia"/>
        </w:rPr>
        <w:t xml:space="preserve"> 支撑杆结构设计应考虑使用期的各种不利荷载工况，应复核支撑杆的强度、刚度以及稳定性。</w:t>
      </w:r>
    </w:p>
    <w:p>
      <w:r>
        <w:rPr>
          <w:rFonts w:hint="eastAsia"/>
          <w:b/>
          <w:bCs/>
        </w:rPr>
        <w:t>4.</w:t>
      </w:r>
      <w:r>
        <w:rPr>
          <w:b/>
          <w:bCs/>
        </w:rPr>
        <w:t>6</w:t>
      </w:r>
      <w:r>
        <w:rPr>
          <w:rFonts w:hint="eastAsia"/>
          <w:b/>
          <w:bCs/>
        </w:rPr>
        <w:t>.3</w:t>
      </w:r>
      <w:r>
        <w:t xml:space="preserve"> </w:t>
      </w:r>
      <w:r>
        <w:rPr>
          <w:rFonts w:hint="eastAsia"/>
        </w:rPr>
        <w:t xml:space="preserve"> 支撑杆的长度应按耳板孔口高度、解锁装置位置、液压缸的行程以及对支撑杆装拆等要求确定。</w:t>
      </w:r>
    </w:p>
    <w:p>
      <w:r>
        <w:rPr>
          <w:rFonts w:hint="eastAsia"/>
          <w:b/>
          <w:bCs/>
        </w:rPr>
        <w:t>4.6.4</w:t>
      </w:r>
      <w:r>
        <w:t xml:space="preserve">  </w:t>
      </w:r>
      <w:r>
        <w:rPr>
          <w:rFonts w:hint="eastAsia"/>
        </w:rPr>
        <w:t>支撑杆滑槽应设置防淤积装置。</w:t>
      </w:r>
    </w:p>
    <w:p>
      <w:pPr>
        <w:pStyle w:val="5"/>
      </w:pPr>
      <w:bookmarkStart w:id="101" w:name="_Toc50447750"/>
      <w:bookmarkStart w:id="102" w:name="_Toc22406"/>
      <w:bookmarkStart w:id="103" w:name="_Toc50447908"/>
      <w:bookmarkStart w:id="104" w:name="_Toc50448001"/>
      <w:bookmarkStart w:id="105" w:name="_Toc50447632"/>
      <w:bookmarkStart w:id="106" w:name="_Toc6197"/>
      <w:bookmarkStart w:id="107" w:name="_Toc58853856"/>
      <w:r>
        <w:rPr>
          <w:rFonts w:hint="eastAsia"/>
        </w:rPr>
        <w:t>4.</w:t>
      </w:r>
      <w:r>
        <w:t>7</w:t>
      </w:r>
      <w:r>
        <w:rPr>
          <w:rFonts w:hint="eastAsia"/>
        </w:rPr>
        <w:t xml:space="preserve">  </w:t>
      </w:r>
      <w:bookmarkEnd w:id="101"/>
      <w:bookmarkEnd w:id="102"/>
      <w:bookmarkEnd w:id="103"/>
      <w:bookmarkEnd w:id="104"/>
      <w:bookmarkEnd w:id="105"/>
      <w:bookmarkEnd w:id="106"/>
      <w:r>
        <w:rPr>
          <w:rFonts w:hint="eastAsia"/>
        </w:rPr>
        <w:t>其他要求</w:t>
      </w:r>
      <w:bookmarkEnd w:id="107"/>
    </w:p>
    <w:p>
      <w:pPr>
        <w:rPr>
          <w:highlight w:val="yellow"/>
          <w:u w:val="single"/>
        </w:rPr>
      </w:pPr>
      <w:r>
        <w:rPr>
          <w:rFonts w:hint="eastAsia"/>
          <w:b/>
          <w:bCs/>
        </w:rPr>
        <w:t>4.</w:t>
      </w:r>
      <w:r>
        <w:rPr>
          <w:b/>
          <w:bCs/>
        </w:rPr>
        <w:t>7</w:t>
      </w:r>
      <w:r>
        <w:rPr>
          <w:rFonts w:hint="eastAsia"/>
          <w:b/>
          <w:bCs/>
        </w:rPr>
        <w:t>.</w:t>
      </w:r>
      <w:r>
        <w:rPr>
          <w:b/>
          <w:bCs/>
        </w:rPr>
        <w:t xml:space="preserve">1 </w:t>
      </w:r>
      <w:r>
        <w:rPr>
          <w:rFonts w:hint="eastAsia"/>
        </w:rPr>
        <w:t xml:space="preserve"> 支撑杆滚轮、支铰座的轴和轴套间应有润滑，宜优先选用自润滑轴套。</w:t>
      </w:r>
      <w:bookmarkStart w:id="108" w:name="_Toc12564_WPSOffice_Level1"/>
      <w:bookmarkStart w:id="109" w:name="_Toc2106_WPSOffice_Level1"/>
    </w:p>
    <w:p>
      <w:r>
        <w:rPr>
          <w:rFonts w:hint="eastAsia"/>
          <w:b/>
          <w:bCs/>
        </w:rPr>
        <w:t>4.</w:t>
      </w:r>
      <w:r>
        <w:rPr>
          <w:b/>
          <w:bCs/>
        </w:rPr>
        <w:t>7.2</w:t>
      </w:r>
      <w:r>
        <w:rPr>
          <w:rFonts w:hint="eastAsia"/>
        </w:rPr>
        <w:t xml:space="preserve">  焊条、焊丝应符合GB/T 5117、</w:t>
      </w:r>
      <w:r>
        <w:t>GB/T 5118</w:t>
      </w:r>
      <w:r>
        <w:rPr>
          <w:rFonts w:hint="eastAsia"/>
        </w:rPr>
        <w:t>、</w:t>
      </w:r>
      <w:r>
        <w:t>GB/T 983</w:t>
      </w:r>
      <w:r>
        <w:rPr>
          <w:rFonts w:hint="eastAsia"/>
        </w:rPr>
        <w:t>的规定。</w:t>
      </w:r>
    </w:p>
    <w:p>
      <w:r>
        <w:rPr>
          <w:rFonts w:hint="eastAsia"/>
          <w:b/>
          <w:bCs/>
        </w:rPr>
        <w:t>4.</w:t>
      </w:r>
      <w:r>
        <w:rPr>
          <w:b/>
          <w:bCs/>
        </w:rPr>
        <w:t>7.3</w:t>
      </w:r>
      <w:r>
        <w:rPr>
          <w:rFonts w:hint="eastAsia"/>
        </w:rPr>
        <w:t xml:space="preserve"> </w:t>
      </w:r>
      <w:r>
        <w:t xml:space="preserve"> 焊接</w:t>
      </w:r>
      <w:r>
        <w:rPr>
          <w:rFonts w:hint="eastAsia"/>
        </w:rPr>
        <w:t>、</w:t>
      </w:r>
      <w:r>
        <w:t>螺栓连接的构造要求</w:t>
      </w:r>
      <w:r>
        <w:rPr>
          <w:rFonts w:hint="eastAsia"/>
        </w:rPr>
        <w:t>，</w:t>
      </w:r>
      <w:r>
        <w:t>可按现行</w:t>
      </w:r>
      <w:r>
        <w:rPr>
          <w:rFonts w:hint="eastAsia"/>
        </w:rPr>
        <w:t xml:space="preserve">GB </w:t>
      </w:r>
      <w:r>
        <w:t>50017的有关规定进行</w:t>
      </w:r>
      <w:r>
        <w:rPr>
          <w:rFonts w:hint="eastAsia"/>
        </w:rPr>
        <w:t>。</w:t>
      </w:r>
    </w:p>
    <w:bookmarkEnd w:id="108"/>
    <w:bookmarkEnd w:id="109"/>
    <w:p>
      <w:r>
        <w:rPr>
          <w:rFonts w:hint="eastAsia"/>
          <w:b/>
          <w:bCs/>
        </w:rPr>
        <w:t>4.</w:t>
      </w:r>
      <w:r>
        <w:rPr>
          <w:b/>
          <w:bCs/>
        </w:rPr>
        <w:t xml:space="preserve">7.4 </w:t>
      </w:r>
      <w:r>
        <w:rPr>
          <w:rFonts w:hint="eastAsia"/>
        </w:rPr>
        <w:t xml:space="preserve"> 埋件应能将门叶所承受的荷载传递到混凝土基础</w:t>
      </w:r>
      <w:r>
        <w:t>中</w:t>
      </w:r>
      <w:r>
        <w:rPr>
          <w:rFonts w:hint="eastAsia"/>
        </w:rPr>
        <w:t>。基础</w:t>
      </w:r>
      <w:r>
        <w:t>混凝土面与</w:t>
      </w:r>
      <w:r>
        <w:rPr>
          <w:rFonts w:hint="eastAsia"/>
        </w:rPr>
        <w:t>门叶</w:t>
      </w:r>
      <w:r>
        <w:t>间距应</w:t>
      </w:r>
      <w:r>
        <w:rPr>
          <w:rFonts w:hint="eastAsia"/>
        </w:rPr>
        <w:t>大</w:t>
      </w:r>
      <w:r>
        <w:t>于1</w:t>
      </w:r>
      <w:r>
        <w:rPr>
          <w:rFonts w:hint="eastAsia"/>
        </w:rPr>
        <w:t>5</w:t>
      </w:r>
      <w:r>
        <w:t>0 mm</w:t>
      </w:r>
      <w:r>
        <w:rPr>
          <w:rFonts w:hint="eastAsia"/>
        </w:rPr>
        <w:t>。</w:t>
      </w:r>
    </w:p>
    <w:p>
      <w:r>
        <w:rPr>
          <w:b/>
          <w:bCs/>
        </w:rPr>
        <w:t xml:space="preserve">4.7.5 </w:t>
      </w:r>
      <w:r>
        <w:rPr>
          <w:rFonts w:hint="eastAsia"/>
        </w:rPr>
        <w:t xml:space="preserve"> 构件所用钢材表面原始锈蚀等级不应低于G</w:t>
      </w:r>
      <w:r>
        <w:t>B/T 8923</w:t>
      </w:r>
      <w:r>
        <w:rPr>
          <w:rFonts w:hint="eastAsia"/>
        </w:rPr>
        <w:t>规定的B级，所有的钢构件表面均应进行喷砂除锈。除锈等级应符合GB 8923.</w:t>
      </w:r>
      <w:r>
        <w:t>1</w:t>
      </w:r>
      <w:r>
        <w:rPr>
          <w:rFonts w:hint="eastAsia"/>
        </w:rPr>
        <w:t>的规定。除锈前后应消除油垢、毛刺、药皮、飞溅物及氧化铁皮等。</w:t>
      </w:r>
    </w:p>
    <w:p>
      <w:r>
        <w:rPr>
          <w:rFonts w:hint="eastAsia"/>
          <w:b/>
          <w:bCs/>
        </w:rPr>
        <w:t>4</w:t>
      </w:r>
      <w:r>
        <w:rPr>
          <w:b/>
          <w:bCs/>
        </w:rPr>
        <w:t>.7.6</w:t>
      </w:r>
      <w:r>
        <w:t xml:space="preserve"> </w:t>
      </w:r>
      <w:r>
        <w:rPr>
          <w:rFonts w:hint="eastAsia"/>
        </w:rPr>
        <w:t>液压缸、液压油缸活塞杆、支撑杆及支撑杆滚轮的轴，其表面宜镀铬，亦可根据具体工作条件采用其他镀层的防腐蚀措施。</w:t>
      </w:r>
    </w:p>
    <w:p>
      <w:pPr>
        <w:pStyle w:val="4"/>
      </w:pPr>
      <w:bookmarkStart w:id="110" w:name="_Toc24652_WPSOffice_Level1"/>
      <w:bookmarkStart w:id="111" w:name="_Toc19269"/>
      <w:bookmarkStart w:id="112" w:name="_Toc22860"/>
      <w:bookmarkStart w:id="113" w:name="_Toc24739_WPSOffice_Level1"/>
      <w:bookmarkStart w:id="114" w:name="_Toc8521"/>
      <w:bookmarkStart w:id="115" w:name="_Toc26055"/>
      <w:r>
        <w:rPr>
          <w:rFonts w:hint="eastAsia"/>
        </w:rPr>
        <w:br w:type="page"/>
      </w:r>
      <w:bookmarkStart w:id="116" w:name="_Toc58853857"/>
      <w:r>
        <w:rPr>
          <w:rFonts w:hint="eastAsia"/>
        </w:rPr>
        <w:t>5  止水</w:t>
      </w:r>
      <w:bookmarkEnd w:id="110"/>
      <w:bookmarkEnd w:id="111"/>
      <w:bookmarkEnd w:id="112"/>
      <w:bookmarkEnd w:id="113"/>
      <w:bookmarkEnd w:id="114"/>
      <w:bookmarkEnd w:id="115"/>
      <w:r>
        <w:rPr>
          <w:rFonts w:hint="eastAsia"/>
        </w:rPr>
        <w:t>装置</w:t>
      </w:r>
      <w:bookmarkEnd w:id="116"/>
    </w:p>
    <w:p>
      <w:pPr>
        <w:pStyle w:val="5"/>
      </w:pPr>
      <w:bookmarkStart w:id="117" w:name="_Toc58853858"/>
      <w:bookmarkStart w:id="118" w:name="_Toc50447640"/>
      <w:bookmarkStart w:id="119" w:name="_Toc50447916"/>
      <w:bookmarkStart w:id="120" w:name="_Toc32595"/>
      <w:bookmarkStart w:id="121" w:name="_Toc50447758"/>
      <w:bookmarkStart w:id="122" w:name="_Toc50448009"/>
      <w:bookmarkStart w:id="123" w:name="_Toc32151"/>
      <w:r>
        <w:rPr>
          <w:rFonts w:hint="eastAsia"/>
        </w:rPr>
        <w:t>5.1  一般规定</w:t>
      </w:r>
      <w:bookmarkEnd w:id="117"/>
      <w:bookmarkEnd w:id="118"/>
      <w:bookmarkEnd w:id="119"/>
      <w:bookmarkEnd w:id="120"/>
      <w:bookmarkEnd w:id="121"/>
      <w:bookmarkEnd w:id="122"/>
      <w:bookmarkEnd w:id="123"/>
    </w:p>
    <w:p>
      <w:r>
        <w:rPr>
          <w:rFonts w:hint="eastAsia"/>
          <w:b/>
          <w:bCs/>
        </w:rPr>
        <w:t>5</w:t>
      </w:r>
      <w:r>
        <w:rPr>
          <w:b/>
          <w:bCs/>
        </w:rPr>
        <w:t xml:space="preserve">.1.1 </w:t>
      </w:r>
      <w:r>
        <w:rPr>
          <w:rFonts w:hint="eastAsia"/>
        </w:rPr>
        <w:t xml:space="preserve"> 止水装置包括门叶之间设置的止水、门叶与底板之间设置的止水（简称底轴止水）和门叶与边墙之间设置的止水。</w:t>
      </w:r>
    </w:p>
    <w:p>
      <w:r>
        <w:rPr>
          <w:rFonts w:hint="eastAsia"/>
          <w:b/>
          <w:bCs/>
        </w:rPr>
        <w:t>5</w:t>
      </w:r>
      <w:r>
        <w:rPr>
          <w:b/>
          <w:bCs/>
        </w:rPr>
        <w:t xml:space="preserve">.1.2 </w:t>
      </w:r>
      <w:r>
        <w:rPr>
          <w:rFonts w:hint="eastAsia"/>
          <w:b/>
          <w:bCs/>
        </w:rPr>
        <w:t xml:space="preserve"> </w:t>
      </w:r>
      <w:r>
        <w:rPr>
          <w:rFonts w:hint="eastAsia"/>
        </w:rPr>
        <w:t>底轴止水宜设置上、下两道止水，下止水应设置止水盒。</w:t>
      </w:r>
    </w:p>
    <w:p>
      <w:r>
        <w:rPr>
          <w:rFonts w:hint="eastAsia"/>
          <w:b/>
          <w:bCs/>
        </w:rPr>
        <w:t>5.</w:t>
      </w:r>
      <w:r>
        <w:rPr>
          <w:b/>
          <w:bCs/>
        </w:rPr>
        <w:t xml:space="preserve">1.3 </w:t>
      </w:r>
      <w:r>
        <w:rPr>
          <w:rFonts w:hint="eastAsia"/>
        </w:rPr>
        <w:t xml:space="preserve"> 门叶之间止水橡胶应预留压缩量，止水橡胶的预留压缩量宜取2</w:t>
      </w:r>
      <w:r>
        <w:t xml:space="preserve"> </w:t>
      </w:r>
      <w:r>
        <w:rPr>
          <w:rFonts w:hint="eastAsia"/>
        </w:rPr>
        <w:t>mm～4</w:t>
      </w:r>
      <w:r>
        <w:t xml:space="preserve"> </w:t>
      </w:r>
      <w:r>
        <w:rPr>
          <w:rFonts w:hint="eastAsia"/>
        </w:rPr>
        <w:t>mm。</w:t>
      </w:r>
    </w:p>
    <w:p>
      <w:r>
        <w:rPr>
          <w:rFonts w:hint="eastAsia"/>
          <w:b/>
          <w:bCs/>
        </w:rPr>
        <w:t>5.</w:t>
      </w:r>
      <w:r>
        <w:rPr>
          <w:b/>
          <w:bCs/>
        </w:rPr>
        <w:t xml:space="preserve">1.4 </w:t>
      </w:r>
      <w:r>
        <w:rPr>
          <w:rFonts w:hint="eastAsia"/>
        </w:rPr>
        <w:t xml:space="preserve"> 止水压板的厚度不宜小于10</w:t>
      </w:r>
      <w:r>
        <w:t xml:space="preserve"> </w:t>
      </w:r>
      <w:r>
        <w:rPr>
          <w:rFonts w:hint="eastAsia"/>
        </w:rPr>
        <w:t>mm，固定止水的螺栓间距宜小于150</w:t>
      </w:r>
      <w:r>
        <w:t xml:space="preserve"> </w:t>
      </w:r>
      <w:r>
        <w:rPr>
          <w:rFonts w:hint="eastAsia"/>
        </w:rPr>
        <w:t>mm。</w:t>
      </w:r>
    </w:p>
    <w:p>
      <w:r>
        <w:rPr>
          <w:rFonts w:hint="eastAsia"/>
          <w:b/>
          <w:bCs/>
        </w:rPr>
        <w:t>5</w:t>
      </w:r>
      <w:r>
        <w:rPr>
          <w:b/>
          <w:bCs/>
        </w:rPr>
        <w:t>.1.5</w:t>
      </w:r>
      <w:r>
        <w:t xml:space="preserve">  </w:t>
      </w:r>
      <w:r>
        <w:rPr>
          <w:rFonts w:hint="eastAsia"/>
        </w:rPr>
        <w:t>止水装置应设计应满足更换要求，止水橡胶损坏应能带水更换。</w:t>
      </w:r>
    </w:p>
    <w:p>
      <w:pPr>
        <w:pStyle w:val="5"/>
      </w:pPr>
      <w:bookmarkStart w:id="124" w:name="_Toc29970"/>
      <w:bookmarkStart w:id="125" w:name="_Toc50447917"/>
      <w:bookmarkStart w:id="126" w:name="_Toc58853859"/>
      <w:bookmarkStart w:id="127" w:name="_Toc50447641"/>
      <w:bookmarkStart w:id="128" w:name="_Toc50448010"/>
      <w:bookmarkStart w:id="129" w:name="_Toc50447759"/>
      <w:bookmarkStart w:id="130" w:name="_Toc6617"/>
      <w:r>
        <w:rPr>
          <w:rFonts w:hint="eastAsia"/>
        </w:rPr>
        <w:t>5</w:t>
      </w:r>
      <w:r>
        <w:t>.2</w:t>
      </w:r>
      <w:r>
        <w:rPr>
          <w:rFonts w:hint="eastAsia"/>
        </w:rPr>
        <w:t xml:space="preserve">  止水橡胶</w:t>
      </w:r>
      <w:bookmarkEnd w:id="124"/>
      <w:bookmarkEnd w:id="125"/>
      <w:bookmarkEnd w:id="126"/>
      <w:bookmarkEnd w:id="127"/>
      <w:bookmarkEnd w:id="128"/>
      <w:bookmarkEnd w:id="129"/>
      <w:bookmarkEnd w:id="130"/>
    </w:p>
    <w:p>
      <w:r>
        <w:rPr>
          <w:rFonts w:hint="eastAsia"/>
          <w:b/>
          <w:bCs/>
        </w:rPr>
        <w:t>5.</w:t>
      </w:r>
      <w:r>
        <w:rPr>
          <w:b/>
          <w:bCs/>
        </w:rPr>
        <w:t>2.</w:t>
      </w:r>
      <w:r>
        <w:rPr>
          <w:rFonts w:hint="eastAsia"/>
          <w:b/>
          <w:bCs/>
        </w:rPr>
        <w:t>1</w:t>
      </w:r>
      <w:r>
        <w:rPr>
          <w:b/>
          <w:bCs/>
        </w:rPr>
        <w:t xml:space="preserve"> </w:t>
      </w:r>
      <w:r>
        <w:rPr>
          <w:rFonts w:hint="eastAsia"/>
        </w:rPr>
        <w:t xml:space="preserve"> 止水橡胶物理性能应满足GB/T 14173的规定。</w:t>
      </w:r>
    </w:p>
    <w:p>
      <w:r>
        <w:rPr>
          <w:rFonts w:hint="eastAsia"/>
          <w:b/>
          <w:bCs/>
        </w:rPr>
        <w:t>5.</w:t>
      </w:r>
      <w:r>
        <w:rPr>
          <w:b/>
          <w:bCs/>
        </w:rPr>
        <w:t>2.</w:t>
      </w:r>
      <w:r>
        <w:rPr>
          <w:rFonts w:hint="eastAsia"/>
          <w:b/>
          <w:bCs/>
        </w:rPr>
        <w:t xml:space="preserve">2 </w:t>
      </w:r>
      <w:r>
        <w:t xml:space="preserve"> </w:t>
      </w:r>
      <w:r>
        <w:rPr>
          <w:rFonts w:hint="eastAsia"/>
        </w:rPr>
        <w:t>其厚度允许偏差为±</w:t>
      </w:r>
      <w:r>
        <w:t>1mm</w:t>
      </w:r>
      <w:r>
        <w:rPr>
          <w:rFonts w:hint="eastAsia"/>
        </w:rPr>
        <w:t>，其余外形尺寸的允许偏差为设计尺寸的</w:t>
      </w:r>
      <w:r>
        <w:t>2%</w:t>
      </w:r>
      <w:r>
        <w:rPr>
          <w:rFonts w:hint="eastAsia"/>
        </w:rPr>
        <w:t>。水封表面应光滑平直，不得盘折存放。水封接头可采用生胶热压方法胶合，胶合接头不得有错位或凹凸不平和疏松现象。</w:t>
      </w:r>
    </w:p>
    <w:p>
      <w:r>
        <w:rPr>
          <w:rFonts w:hint="eastAsia"/>
          <w:b/>
        </w:rPr>
        <w:t>5.2.3</w:t>
      </w:r>
      <w:r>
        <w:rPr>
          <w:rFonts w:hint="eastAsia"/>
        </w:rPr>
        <w:t xml:space="preserve"> </w:t>
      </w:r>
      <w:r>
        <w:t xml:space="preserve"> </w:t>
      </w:r>
      <w:r>
        <w:rPr>
          <w:rFonts w:hint="eastAsia"/>
        </w:rPr>
        <w:t>应选用具有弹性、耐磨性、耐老化性和抗撕裂性能，适应变形能力强、防水性能好的天然橡胶。</w:t>
      </w:r>
    </w:p>
    <w:p/>
    <w:p/>
    <w:p>
      <w:pPr>
        <w:pStyle w:val="4"/>
      </w:pPr>
      <w:bookmarkStart w:id="131" w:name="_Toc23726_WPSOffice_Level1"/>
      <w:bookmarkStart w:id="132" w:name="_Toc7570_WPSOffice_Level1"/>
      <w:bookmarkStart w:id="133" w:name="_Toc30235"/>
      <w:bookmarkStart w:id="134" w:name="_Toc29122"/>
      <w:bookmarkStart w:id="135" w:name="_Toc50448011"/>
      <w:bookmarkStart w:id="136" w:name="_Toc2582"/>
      <w:bookmarkStart w:id="137" w:name="_Toc20845"/>
      <w:bookmarkStart w:id="138" w:name="_Toc50447642"/>
      <w:bookmarkStart w:id="139" w:name="_Toc50447760"/>
      <w:bookmarkStart w:id="140" w:name="_Toc50447918"/>
      <w:r>
        <w:rPr>
          <w:rFonts w:hint="eastAsia"/>
        </w:rPr>
        <w:br w:type="page"/>
      </w:r>
      <w:bookmarkStart w:id="141" w:name="_Toc58853860"/>
      <w:r>
        <w:rPr>
          <w:rFonts w:hint="eastAsia"/>
        </w:rPr>
        <w:t>6  液压</w:t>
      </w:r>
      <w:bookmarkEnd w:id="131"/>
      <w:bookmarkEnd w:id="132"/>
      <w:r>
        <w:rPr>
          <w:rFonts w:hint="eastAsia"/>
        </w:rPr>
        <w:t>系统</w:t>
      </w:r>
      <w:bookmarkEnd w:id="133"/>
      <w:bookmarkEnd w:id="134"/>
      <w:bookmarkEnd w:id="135"/>
      <w:bookmarkEnd w:id="136"/>
      <w:bookmarkEnd w:id="137"/>
      <w:bookmarkEnd w:id="138"/>
      <w:bookmarkEnd w:id="139"/>
      <w:bookmarkEnd w:id="140"/>
      <w:bookmarkEnd w:id="141"/>
    </w:p>
    <w:p>
      <w:pPr>
        <w:pStyle w:val="5"/>
        <w:rPr>
          <w:szCs w:val="28"/>
        </w:rPr>
      </w:pPr>
      <w:bookmarkStart w:id="142" w:name="_Toc50448012"/>
      <w:bookmarkStart w:id="143" w:name="_Toc50447761"/>
      <w:bookmarkStart w:id="144" w:name="_Toc50447643"/>
      <w:bookmarkStart w:id="145" w:name="_Toc50447919"/>
      <w:bookmarkStart w:id="146" w:name="_Toc26390"/>
      <w:bookmarkStart w:id="147" w:name="_Toc23803"/>
      <w:bookmarkStart w:id="148" w:name="_Toc58853861"/>
      <w:r>
        <w:rPr>
          <w:rFonts w:hint="eastAsia"/>
          <w:szCs w:val="28"/>
        </w:rPr>
        <w:t xml:space="preserve">6.1 </w:t>
      </w:r>
      <w:bookmarkEnd w:id="142"/>
      <w:bookmarkEnd w:id="143"/>
      <w:bookmarkEnd w:id="144"/>
      <w:bookmarkEnd w:id="145"/>
      <w:r>
        <w:rPr>
          <w:rFonts w:hint="eastAsia"/>
          <w:szCs w:val="28"/>
        </w:rPr>
        <w:t>一般规定</w:t>
      </w:r>
      <w:bookmarkEnd w:id="146"/>
      <w:bookmarkEnd w:id="147"/>
      <w:bookmarkEnd w:id="148"/>
    </w:p>
    <w:p>
      <w:r>
        <w:rPr>
          <w:rFonts w:hint="eastAsia"/>
          <w:b/>
          <w:bCs/>
        </w:rPr>
        <w:t>6.</w:t>
      </w:r>
      <w:r>
        <w:rPr>
          <w:b/>
          <w:bCs/>
        </w:rPr>
        <w:t>1.1</w:t>
      </w:r>
      <w:r>
        <w:rPr>
          <w:rFonts w:hint="eastAsia"/>
          <w:b/>
          <w:bCs/>
        </w:rPr>
        <w:t xml:space="preserve"> </w:t>
      </w:r>
      <w:r>
        <w:t xml:space="preserve"> </w:t>
      </w:r>
      <w:r>
        <w:rPr>
          <w:rFonts w:hint="eastAsia"/>
        </w:rPr>
        <w:t>液压系统包括液压泵站、液压装置、液压管道以及相关部件。</w:t>
      </w:r>
    </w:p>
    <w:p>
      <w:pPr>
        <w:pStyle w:val="22"/>
        <w:ind w:firstLine="0" w:firstLineChars="0"/>
      </w:pPr>
      <w:bookmarkStart w:id="149" w:name="_Toc18009"/>
      <w:r>
        <w:rPr>
          <w:rFonts w:hint="eastAsia"/>
          <w:b/>
          <w:bCs/>
        </w:rPr>
        <w:t>6</w:t>
      </w:r>
      <w:r>
        <w:rPr>
          <w:b/>
          <w:bCs/>
        </w:rPr>
        <w:t>.</w:t>
      </w:r>
      <w:r>
        <w:rPr>
          <w:rFonts w:hint="eastAsia"/>
          <w:b/>
          <w:bCs/>
        </w:rPr>
        <w:t xml:space="preserve">1.2 </w:t>
      </w:r>
      <w:r>
        <w:rPr>
          <w:rFonts w:hint="eastAsia"/>
        </w:rPr>
        <w:t xml:space="preserve"> 液压泵站</w:t>
      </w:r>
      <w:bookmarkEnd w:id="149"/>
      <w:r>
        <w:rPr>
          <w:rFonts w:hint="eastAsia"/>
        </w:rPr>
        <w:t>可参照GB</w:t>
      </w:r>
      <w:r>
        <w:t xml:space="preserve"> </w:t>
      </w:r>
      <w:r>
        <w:rPr>
          <w:rFonts w:hint="eastAsia"/>
        </w:rPr>
        <w:t>50265设计。</w:t>
      </w:r>
    </w:p>
    <w:p>
      <w:pPr>
        <w:pStyle w:val="5"/>
        <w:rPr>
          <w:szCs w:val="28"/>
        </w:rPr>
      </w:pPr>
      <w:bookmarkStart w:id="150" w:name="_Toc1497"/>
      <w:bookmarkStart w:id="151" w:name="_Toc50447999"/>
      <w:bookmarkStart w:id="152" w:name="_Toc27806"/>
      <w:bookmarkStart w:id="153" w:name="_Toc50447748"/>
      <w:bookmarkStart w:id="154" w:name="_Toc50447906"/>
      <w:bookmarkStart w:id="155" w:name="_Toc58853862"/>
      <w:bookmarkStart w:id="156" w:name="_Toc50447630"/>
      <w:r>
        <w:rPr>
          <w:szCs w:val="28"/>
        </w:rPr>
        <w:t>6.2</w:t>
      </w:r>
      <w:r>
        <w:rPr>
          <w:rFonts w:hint="eastAsia"/>
          <w:szCs w:val="28"/>
        </w:rPr>
        <w:t xml:space="preserve"> 液压装置</w:t>
      </w:r>
      <w:bookmarkEnd w:id="150"/>
      <w:bookmarkEnd w:id="151"/>
      <w:bookmarkEnd w:id="152"/>
      <w:bookmarkEnd w:id="153"/>
      <w:bookmarkEnd w:id="154"/>
      <w:bookmarkEnd w:id="155"/>
      <w:bookmarkEnd w:id="156"/>
    </w:p>
    <w:p>
      <w:r>
        <w:rPr>
          <w:b/>
          <w:bCs/>
        </w:rPr>
        <w:t>6.</w:t>
      </w:r>
      <w:r>
        <w:rPr>
          <w:rFonts w:hint="eastAsia"/>
          <w:b/>
          <w:bCs/>
        </w:rPr>
        <w:t>2</w:t>
      </w:r>
      <w:r>
        <w:rPr>
          <w:b/>
          <w:bCs/>
        </w:rPr>
        <w:t>.</w:t>
      </w:r>
      <w:r>
        <w:rPr>
          <w:rFonts w:hint="eastAsia"/>
          <w:b/>
          <w:bCs/>
        </w:rPr>
        <w:t xml:space="preserve">1 </w:t>
      </w:r>
      <w:r>
        <w:t xml:space="preserve"> </w:t>
      </w:r>
      <w:r>
        <w:rPr>
          <w:rFonts w:hint="eastAsia"/>
        </w:rPr>
        <w:t>液压装置设计应符合SL 41的要求。且其竖向荷载、水平荷载的作用分项系数均宜大于</w:t>
      </w:r>
      <w:r>
        <w:t xml:space="preserve"> 1.1</w:t>
      </w:r>
      <w:r>
        <w:rPr>
          <w:rFonts w:hint="eastAsia"/>
        </w:rPr>
        <w:t>。</w:t>
      </w:r>
    </w:p>
    <w:p>
      <w:r>
        <w:rPr>
          <w:b/>
          <w:bCs/>
        </w:rPr>
        <w:t>6.</w:t>
      </w:r>
      <w:r>
        <w:rPr>
          <w:rFonts w:hint="eastAsia"/>
          <w:b/>
          <w:bCs/>
        </w:rPr>
        <w:t>2</w:t>
      </w:r>
      <w:r>
        <w:rPr>
          <w:b/>
          <w:bCs/>
        </w:rPr>
        <w:t xml:space="preserve">.2  </w:t>
      </w:r>
      <w:r>
        <w:rPr>
          <w:rFonts w:hint="eastAsia"/>
        </w:rPr>
        <w:t>应根据工作压力和运行要求，确定缸径、输出力、速度、作用时间等性能参数。</w:t>
      </w:r>
    </w:p>
    <w:p>
      <w:r>
        <w:rPr>
          <w:b/>
          <w:bCs/>
        </w:rPr>
        <w:t>6.</w:t>
      </w:r>
      <w:r>
        <w:rPr>
          <w:rFonts w:hint="eastAsia"/>
          <w:b/>
          <w:bCs/>
        </w:rPr>
        <w:t>2.</w:t>
      </w:r>
      <w:r>
        <w:rPr>
          <w:b/>
          <w:bCs/>
        </w:rPr>
        <w:t>3</w:t>
      </w:r>
      <w:r>
        <w:rPr>
          <w:rFonts w:hint="eastAsia"/>
        </w:rPr>
        <w:t xml:space="preserve"> </w:t>
      </w:r>
      <w:r>
        <w:t xml:space="preserve"> </w:t>
      </w:r>
      <w:r>
        <w:rPr>
          <w:rFonts w:hint="eastAsia"/>
        </w:rPr>
        <w:t>启闭力应参照SL 753计算。在多泥沙水流工况下，应增加富裕度。</w:t>
      </w:r>
    </w:p>
    <w:p>
      <w:r>
        <w:rPr>
          <w:b/>
          <w:bCs/>
        </w:rPr>
        <w:t>6.</w:t>
      </w:r>
      <w:r>
        <w:rPr>
          <w:rFonts w:hint="eastAsia"/>
          <w:b/>
          <w:bCs/>
        </w:rPr>
        <w:t>2</w:t>
      </w:r>
      <w:r>
        <w:rPr>
          <w:b/>
          <w:bCs/>
        </w:rPr>
        <w:t xml:space="preserve">.4 </w:t>
      </w:r>
      <w:r>
        <w:rPr>
          <w:rFonts w:hint="eastAsia"/>
        </w:rPr>
        <w:t xml:space="preserve"> 上下缸盖的材料及其力学性能与缸体材料相同。</w:t>
      </w:r>
    </w:p>
    <w:p>
      <w:r>
        <w:rPr>
          <w:b/>
          <w:bCs/>
        </w:rPr>
        <w:t>6.</w:t>
      </w:r>
      <w:r>
        <w:rPr>
          <w:rFonts w:hint="eastAsia"/>
          <w:b/>
          <w:bCs/>
        </w:rPr>
        <w:t>2</w:t>
      </w:r>
      <w:r>
        <w:rPr>
          <w:b/>
          <w:bCs/>
        </w:rPr>
        <w:t>.</w:t>
      </w:r>
      <w:r>
        <w:rPr>
          <w:rFonts w:hint="eastAsia"/>
          <w:b/>
          <w:bCs/>
        </w:rPr>
        <w:t>5</w:t>
      </w:r>
      <w:r>
        <w:t xml:space="preserve">  </w:t>
      </w:r>
      <w:r>
        <w:rPr>
          <w:rFonts w:hint="eastAsia"/>
        </w:rPr>
        <w:t>液压缸行程应按液压缸耳片插销中心点至液压缸支架插销中心点的距离计算。</w:t>
      </w:r>
    </w:p>
    <w:p>
      <w:pPr>
        <w:pStyle w:val="5"/>
      </w:pPr>
      <w:bookmarkStart w:id="157" w:name="_Toc58853863"/>
      <w:r>
        <w:t>6.3</w:t>
      </w:r>
      <w:r>
        <w:rPr>
          <w:rFonts w:hint="eastAsia"/>
        </w:rPr>
        <w:t xml:space="preserve"> 液压管道</w:t>
      </w:r>
      <w:bookmarkEnd w:id="157"/>
    </w:p>
    <w:p>
      <w:r>
        <w:rPr>
          <w:rFonts w:hint="eastAsia"/>
          <w:b/>
          <w:bCs/>
        </w:rPr>
        <w:t>6.3</w:t>
      </w:r>
      <w:r>
        <w:rPr>
          <w:b/>
          <w:bCs/>
        </w:rPr>
        <w:t xml:space="preserve">.1 </w:t>
      </w:r>
      <w:r>
        <w:rPr>
          <w:rFonts w:hint="eastAsia"/>
        </w:rPr>
        <w:t xml:space="preserve"> 液压管道在接口处应采用可拆卸的连接件。连接件需考虑：静态和动态压力、所通过的流量、密封特征、机械振动和液态脉动、安装方式等因素。管件材质选用应根据工作压力、安装位置和使用环境来确定。</w:t>
      </w:r>
    </w:p>
    <w:p>
      <w:r>
        <w:rPr>
          <w:rFonts w:hint="eastAsia"/>
          <w:b/>
          <w:bCs/>
        </w:rPr>
        <w:t>6.3.</w:t>
      </w:r>
      <w:r>
        <w:rPr>
          <w:b/>
          <w:bCs/>
        </w:rPr>
        <w:t>2</w:t>
      </w:r>
      <w:r>
        <w:rPr>
          <w:rFonts w:hint="eastAsia"/>
          <w:b/>
          <w:bCs/>
        </w:rPr>
        <w:t xml:space="preserve"> </w:t>
      </w:r>
      <w:r>
        <w:rPr>
          <w:rFonts w:hint="eastAsia"/>
        </w:rPr>
        <w:t xml:space="preserve"> 管道布置应分层布置，设计时宜避免紧死的直管，防止紧死的直管在管道中产生严重的拉压应力造成装拆困难。管道弯头应选择大的弯曲半径。弯管前后和软管连接前部应增加支承。</w:t>
      </w:r>
    </w:p>
    <w:p>
      <w:r>
        <w:rPr>
          <w:rFonts w:hint="eastAsia"/>
          <w:b/>
          <w:bCs/>
        </w:rPr>
        <w:t>6.3.</w:t>
      </w:r>
      <w:r>
        <w:rPr>
          <w:b/>
          <w:bCs/>
        </w:rPr>
        <w:t>3</w:t>
      </w:r>
      <w:r>
        <w:rPr>
          <w:rFonts w:hint="eastAsia"/>
          <w:b/>
          <w:bCs/>
        </w:rPr>
        <w:t xml:space="preserve"> </w:t>
      </w:r>
      <w:bookmarkStart w:id="158" w:name="_Toc50448013"/>
      <w:bookmarkStart w:id="159" w:name="_Toc50447762"/>
      <w:bookmarkStart w:id="160" w:name="_Toc50447920"/>
      <w:bookmarkStart w:id="161" w:name="_Toc50447644"/>
      <w:r>
        <w:rPr>
          <w:rFonts w:hint="eastAsia"/>
        </w:rPr>
        <w:t xml:space="preserve"> 根据计算壁厚选择液压管时应注意液压管的制造公差。</w:t>
      </w:r>
    </w:p>
    <w:p>
      <w:r>
        <w:rPr>
          <w:rFonts w:hint="eastAsia"/>
          <w:b/>
          <w:bCs/>
        </w:rPr>
        <w:t>6.3.</w:t>
      </w:r>
      <w:r>
        <w:rPr>
          <w:b/>
          <w:bCs/>
        </w:rPr>
        <w:t>4</w:t>
      </w:r>
      <w:r>
        <w:rPr>
          <w:rFonts w:hint="eastAsia"/>
          <w:b/>
          <w:bCs/>
        </w:rPr>
        <w:t xml:space="preserve"> </w:t>
      </w:r>
      <w:r>
        <w:rPr>
          <w:rFonts w:hint="eastAsia"/>
        </w:rPr>
        <w:t xml:space="preserve"> 液压油箱及液压管道宜采用不锈钢材料。液压管道在沟槽中埋设时应安装在减震支架上，以避免基础不均匀沉降带来的危害。基础伸缩缝处的管路连接应采用补偿管道伸缩和适用剪切变形的装置，保证管道在垂直方向上移动，以适应沉降合伸缩应力。</w:t>
      </w:r>
    </w:p>
    <w:bookmarkEnd w:id="158"/>
    <w:bookmarkEnd w:id="159"/>
    <w:bookmarkEnd w:id="160"/>
    <w:bookmarkEnd w:id="161"/>
    <w:p>
      <w:pPr>
        <w:pStyle w:val="4"/>
      </w:pPr>
      <w:bookmarkStart w:id="162" w:name="_Toc10134"/>
      <w:bookmarkStart w:id="163" w:name="_Toc19163"/>
      <w:bookmarkStart w:id="164" w:name="_Toc3745"/>
      <w:bookmarkStart w:id="165" w:name="_Toc17701"/>
      <w:r>
        <w:br w:type="page"/>
      </w:r>
      <w:bookmarkStart w:id="166" w:name="_Toc58853864"/>
      <w:r>
        <w:t>7</w:t>
      </w:r>
      <w:r>
        <w:rPr>
          <w:rFonts w:hint="eastAsia"/>
        </w:rPr>
        <w:t xml:space="preserve"> 控制系统</w:t>
      </w:r>
      <w:bookmarkEnd w:id="162"/>
      <w:bookmarkEnd w:id="163"/>
      <w:bookmarkEnd w:id="164"/>
      <w:bookmarkEnd w:id="165"/>
      <w:bookmarkEnd w:id="166"/>
    </w:p>
    <w:p>
      <w:pPr>
        <w:pStyle w:val="5"/>
      </w:pPr>
      <w:bookmarkStart w:id="167" w:name="_Toc23404"/>
      <w:bookmarkStart w:id="168" w:name="_Toc58853865"/>
      <w:bookmarkStart w:id="169" w:name="_Toc6414"/>
      <w:r>
        <w:t>7</w:t>
      </w:r>
      <w:r>
        <w:rPr>
          <w:rFonts w:hint="eastAsia"/>
        </w:rPr>
        <w:t>.1  一般规定</w:t>
      </w:r>
      <w:bookmarkEnd w:id="167"/>
      <w:bookmarkEnd w:id="168"/>
      <w:bookmarkEnd w:id="169"/>
    </w:p>
    <w:p>
      <w:r>
        <w:rPr>
          <w:b/>
          <w:bCs/>
        </w:rPr>
        <w:t>7</w:t>
      </w:r>
      <w:r>
        <w:rPr>
          <w:rFonts w:hint="eastAsia"/>
          <w:b/>
          <w:bCs/>
        </w:rPr>
        <w:t xml:space="preserve">.1.1 </w:t>
      </w:r>
      <w:r>
        <w:rPr>
          <w:rFonts w:hint="eastAsia"/>
        </w:rPr>
        <w:t xml:space="preserve"> 控制系统宜包括集中监控和自动监控。设计应遵循安全可靠、经济适用、技术先进的原则。结合工程运行管理等方面的要求，采取必要措施，满足安全经济运行和防汛调度管理工作的需要。</w:t>
      </w:r>
    </w:p>
    <w:p>
      <w:r>
        <w:rPr>
          <w:b/>
          <w:bCs/>
        </w:rPr>
        <w:t>7</w:t>
      </w:r>
      <w:r>
        <w:rPr>
          <w:rFonts w:hint="eastAsia"/>
          <w:b/>
          <w:bCs/>
        </w:rPr>
        <w:t>.1.</w:t>
      </w:r>
      <w:r>
        <w:rPr>
          <w:b/>
          <w:bCs/>
        </w:rPr>
        <w:t>2</w:t>
      </w:r>
      <w:r>
        <w:rPr>
          <w:rFonts w:hint="eastAsia"/>
          <w:b/>
          <w:bCs/>
        </w:rPr>
        <w:t xml:space="preserve"> </w:t>
      </w:r>
      <w:r>
        <w:rPr>
          <w:rFonts w:hint="eastAsia"/>
        </w:rPr>
        <w:t xml:space="preserve"> 自动监控中应保留设备在现场调试和紧急事故处理的手动操作功能。</w:t>
      </w:r>
    </w:p>
    <w:p>
      <w:r>
        <w:rPr>
          <w:rFonts w:hint="eastAsia"/>
          <w:b/>
          <w:bCs/>
        </w:rPr>
        <w:t xml:space="preserve">7.1.3  </w:t>
      </w:r>
      <w:r>
        <w:rPr>
          <w:rFonts w:hint="eastAsia"/>
        </w:rPr>
        <w:t>自动控制设计应符合SL 612的规定。</w:t>
      </w:r>
    </w:p>
    <w:p>
      <w:pPr>
        <w:pStyle w:val="5"/>
      </w:pPr>
      <w:bookmarkStart w:id="170" w:name="_Toc58853866"/>
      <w:bookmarkStart w:id="171" w:name="_Toc29630"/>
      <w:bookmarkStart w:id="172" w:name="_Toc18627"/>
      <w:r>
        <w:t>7</w:t>
      </w:r>
      <w:r>
        <w:rPr>
          <w:rFonts w:hint="eastAsia"/>
        </w:rPr>
        <w:t>.2  集中监控</w:t>
      </w:r>
      <w:bookmarkEnd w:id="170"/>
      <w:bookmarkEnd w:id="171"/>
      <w:bookmarkEnd w:id="172"/>
    </w:p>
    <w:p>
      <w:r>
        <w:rPr>
          <w:b/>
          <w:bCs/>
        </w:rPr>
        <w:t>7</w:t>
      </w:r>
      <w:r>
        <w:rPr>
          <w:rFonts w:hint="eastAsia"/>
          <w:b/>
          <w:bCs/>
        </w:rPr>
        <w:t>.2.1</w:t>
      </w:r>
      <w:r>
        <w:rPr>
          <w:rFonts w:hint="eastAsia"/>
        </w:rPr>
        <w:t xml:space="preserve">  液压升降坝宜设置集中控制室，通过集中监控系统，对液压升降坝的运行及其主要机电设备实行集中监控。</w:t>
      </w:r>
    </w:p>
    <w:p>
      <w:r>
        <w:rPr>
          <w:b/>
          <w:bCs/>
        </w:rPr>
        <w:t>7</w:t>
      </w:r>
      <w:r>
        <w:rPr>
          <w:rFonts w:hint="eastAsia"/>
          <w:b/>
          <w:bCs/>
        </w:rPr>
        <w:t xml:space="preserve">.2.2 </w:t>
      </w:r>
      <w:r>
        <w:rPr>
          <w:rFonts w:hint="eastAsia"/>
        </w:rPr>
        <w:t xml:space="preserve"> 同一河段上设有多道液压升降坝时，宜选择一道液压升降坝设置总控制室，对每道液压升降坝进行集中监控，总控制室宜设在管理方便的坝段。</w:t>
      </w:r>
    </w:p>
    <w:p>
      <w:r>
        <w:rPr>
          <w:b/>
          <w:bCs/>
        </w:rPr>
        <w:t>7</w:t>
      </w:r>
      <w:r>
        <w:rPr>
          <w:rFonts w:hint="eastAsia"/>
          <w:b/>
          <w:bCs/>
        </w:rPr>
        <w:t>.2.</w:t>
      </w:r>
      <w:r>
        <w:rPr>
          <w:b/>
          <w:bCs/>
        </w:rPr>
        <w:t>3</w:t>
      </w:r>
      <w:r>
        <w:rPr>
          <w:rFonts w:hint="eastAsia"/>
          <w:b/>
          <w:bCs/>
        </w:rPr>
        <w:t xml:space="preserve"> </w:t>
      </w:r>
      <w:r>
        <w:rPr>
          <w:rFonts w:hint="eastAsia"/>
        </w:rPr>
        <w:t xml:space="preserve"> 液压升降坝采用以计算机监控系统为基础的集中监控方案时，中央控制室的集中监控主要应包括下列内容：</w:t>
      </w:r>
    </w:p>
    <w:p>
      <w:pPr>
        <w:pStyle w:val="22"/>
        <w:ind w:firstLine="482"/>
      </w:pPr>
      <w:r>
        <w:rPr>
          <w:rFonts w:hint="eastAsia"/>
          <w:b/>
          <w:bCs/>
        </w:rPr>
        <w:t>1</w:t>
      </w:r>
      <w:r>
        <w:rPr>
          <w:rFonts w:hint="eastAsia"/>
        </w:rPr>
        <w:t xml:space="preserve">  主要设备运行及状态参数。</w:t>
      </w:r>
    </w:p>
    <w:p>
      <w:pPr>
        <w:pStyle w:val="22"/>
        <w:ind w:firstLine="482"/>
      </w:pPr>
      <w:r>
        <w:rPr>
          <w:rFonts w:hint="eastAsia"/>
          <w:b/>
          <w:bCs/>
        </w:rPr>
        <w:t xml:space="preserve">2 </w:t>
      </w:r>
      <w:r>
        <w:rPr>
          <w:rFonts w:hint="eastAsia"/>
        </w:rPr>
        <w:t xml:space="preserve"> 河道上、下游水位和坝前水深。</w:t>
      </w:r>
    </w:p>
    <w:p>
      <w:pPr>
        <w:pStyle w:val="22"/>
        <w:ind w:firstLine="482"/>
      </w:pPr>
      <w:r>
        <w:rPr>
          <w:b/>
          <w:bCs/>
        </w:rPr>
        <w:t>3</w:t>
      </w:r>
      <w:r>
        <w:rPr>
          <w:rFonts w:hint="eastAsia"/>
        </w:rPr>
        <w:t xml:space="preserve">  远程视频监视。</w:t>
      </w:r>
    </w:p>
    <w:p>
      <w:pPr>
        <w:pStyle w:val="22"/>
        <w:ind w:firstLine="482"/>
      </w:pPr>
      <w:r>
        <w:rPr>
          <w:b/>
          <w:bCs/>
        </w:rPr>
        <w:t>4</w:t>
      </w:r>
      <w:r>
        <w:rPr>
          <w:rFonts w:hint="eastAsia"/>
          <w:b/>
          <w:bCs/>
        </w:rPr>
        <w:t xml:space="preserve"> </w:t>
      </w:r>
      <w:r>
        <w:rPr>
          <w:rFonts w:hint="eastAsia"/>
        </w:rPr>
        <w:t xml:space="preserve"> 火灾自动检测报警系统。</w:t>
      </w:r>
    </w:p>
    <w:p>
      <w:pPr>
        <w:pStyle w:val="5"/>
      </w:pPr>
      <w:bookmarkStart w:id="173" w:name="_Toc58853867"/>
      <w:bookmarkStart w:id="174" w:name="_Toc26637"/>
      <w:bookmarkStart w:id="175" w:name="_Toc17242"/>
      <w:r>
        <w:t>7</w:t>
      </w:r>
      <w:r>
        <w:rPr>
          <w:rFonts w:hint="eastAsia"/>
        </w:rPr>
        <w:t>.3  自动控制</w:t>
      </w:r>
      <w:bookmarkEnd w:id="173"/>
      <w:bookmarkEnd w:id="174"/>
      <w:bookmarkEnd w:id="175"/>
    </w:p>
    <w:p>
      <w:r>
        <w:rPr>
          <w:b/>
          <w:bCs/>
        </w:rPr>
        <w:t>7</w:t>
      </w:r>
      <w:r>
        <w:rPr>
          <w:rFonts w:hint="eastAsia"/>
          <w:b/>
          <w:bCs/>
        </w:rPr>
        <w:t>.3.1</w:t>
      </w:r>
      <w:r>
        <w:rPr>
          <w:rFonts w:hint="eastAsia"/>
        </w:rPr>
        <w:t xml:space="preserve">  自动控制包括液压升降坝及其辅助设备系统的自动操作以及设备故障自动报警。</w:t>
      </w:r>
    </w:p>
    <w:p>
      <w:r>
        <w:rPr>
          <w:b/>
          <w:bCs/>
        </w:rPr>
        <w:t>7</w:t>
      </w:r>
      <w:r>
        <w:rPr>
          <w:rFonts w:hint="eastAsia"/>
          <w:b/>
          <w:bCs/>
        </w:rPr>
        <w:t>.3.2</w:t>
      </w:r>
      <w:r>
        <w:rPr>
          <w:rFonts w:hint="eastAsia"/>
        </w:rPr>
        <w:t xml:space="preserve">  液压升降坝控制系统自动化应满足以下要求：</w:t>
      </w:r>
    </w:p>
    <w:p>
      <w:pPr>
        <w:pStyle w:val="22"/>
        <w:ind w:firstLine="482"/>
      </w:pPr>
      <w:r>
        <w:rPr>
          <w:rFonts w:hint="eastAsia"/>
          <w:b/>
          <w:bCs/>
        </w:rPr>
        <w:t>1</w:t>
      </w:r>
      <w:r>
        <w:rPr>
          <w:rFonts w:hint="eastAsia"/>
        </w:rPr>
        <w:t xml:space="preserve">  应能以远程方式实现门叶升降等工况的自动转换，且能根据需要实现升降控制。</w:t>
      </w:r>
    </w:p>
    <w:p>
      <w:pPr>
        <w:pStyle w:val="22"/>
        <w:ind w:firstLine="482"/>
      </w:pPr>
      <w:r>
        <w:rPr>
          <w:rFonts w:hint="eastAsia"/>
          <w:b/>
          <w:bCs/>
        </w:rPr>
        <w:t>2</w:t>
      </w:r>
      <w:r>
        <w:rPr>
          <w:rFonts w:hint="eastAsia"/>
        </w:rPr>
        <w:t xml:space="preserve">  液压装置或支撑杆运行异常时应能自动报警。发生故障时应能自动停机、跳闸。必要时，自动关闭液压泵站且发出故障声光报警信号。</w:t>
      </w:r>
    </w:p>
    <w:p>
      <w:pPr>
        <w:pStyle w:val="4"/>
      </w:pPr>
      <w:bookmarkStart w:id="176" w:name="_Toc58853868"/>
      <w:r>
        <w:t>8</w:t>
      </w:r>
      <w:r>
        <w:rPr>
          <w:rFonts w:hint="eastAsia"/>
        </w:rPr>
        <w:t xml:space="preserve"> 配电设计</w:t>
      </w:r>
      <w:bookmarkEnd w:id="176"/>
    </w:p>
    <w:p>
      <w:pPr>
        <w:pStyle w:val="5"/>
      </w:pPr>
      <w:bookmarkStart w:id="177" w:name="_Toc13010"/>
      <w:bookmarkStart w:id="178" w:name="_Toc30646"/>
      <w:bookmarkStart w:id="179" w:name="_Toc58853869"/>
      <w:r>
        <w:t>8</w:t>
      </w:r>
      <w:r>
        <w:rPr>
          <w:rFonts w:hint="eastAsia"/>
        </w:rPr>
        <w:t xml:space="preserve">.1  </w:t>
      </w:r>
      <w:bookmarkEnd w:id="177"/>
      <w:bookmarkEnd w:id="178"/>
      <w:r>
        <w:rPr>
          <w:rFonts w:hint="eastAsia"/>
        </w:rPr>
        <w:t>一般规定</w:t>
      </w:r>
      <w:bookmarkEnd w:id="179"/>
    </w:p>
    <w:p>
      <w:r>
        <w:rPr>
          <w:b/>
          <w:bCs/>
        </w:rPr>
        <w:t>8.</w:t>
      </w:r>
      <w:r>
        <w:rPr>
          <w:rFonts w:hint="eastAsia"/>
          <w:b/>
          <w:bCs/>
        </w:rPr>
        <w:t>1</w:t>
      </w:r>
      <w:r>
        <w:rPr>
          <w:b/>
          <w:bCs/>
        </w:rPr>
        <w:t>.</w:t>
      </w:r>
      <w:r>
        <w:rPr>
          <w:rFonts w:hint="eastAsia"/>
          <w:b/>
          <w:bCs/>
        </w:rPr>
        <w:t>1</w:t>
      </w:r>
      <w:r>
        <w:t xml:space="preserve"> </w:t>
      </w:r>
      <w:r>
        <w:rPr>
          <w:rFonts w:hint="eastAsia"/>
        </w:rPr>
        <w:t xml:space="preserve"> 配电设计应结合工程特点、自然环境条件、电源条件、供电距离、负荷性质、容量及布置等因素，依据经济合理、安全可靠的原则综合考虑确定。</w:t>
      </w:r>
    </w:p>
    <w:p>
      <w:r>
        <w:rPr>
          <w:b/>
          <w:bCs/>
        </w:rPr>
        <w:t>8</w:t>
      </w:r>
      <w:r>
        <w:rPr>
          <w:rFonts w:hint="eastAsia"/>
          <w:b/>
          <w:bCs/>
        </w:rPr>
        <w:t>.1</w:t>
      </w:r>
      <w:r>
        <w:rPr>
          <w:b/>
          <w:bCs/>
        </w:rPr>
        <w:t>.</w:t>
      </w:r>
      <w:r>
        <w:rPr>
          <w:rFonts w:hint="eastAsia"/>
          <w:b/>
          <w:bCs/>
        </w:rPr>
        <w:t>2</w:t>
      </w:r>
      <w:r>
        <w:t xml:space="preserve"> </w:t>
      </w:r>
      <w:r>
        <w:rPr>
          <w:rFonts w:hint="eastAsia"/>
        </w:rPr>
        <w:t xml:space="preserve"> 有泄洪要求的液压升降坝供电应采用双回电源。没有条件的可配置柴油发电机或UPS不间断电源作为备用电源。</w:t>
      </w:r>
    </w:p>
    <w:p>
      <w:r>
        <w:rPr>
          <w:b/>
          <w:bCs/>
        </w:rPr>
        <w:t>8</w:t>
      </w:r>
      <w:r>
        <w:rPr>
          <w:rFonts w:hint="eastAsia"/>
          <w:b/>
          <w:bCs/>
        </w:rPr>
        <w:t>.1</w:t>
      </w:r>
      <w:r>
        <w:rPr>
          <w:b/>
          <w:bCs/>
        </w:rPr>
        <w:t xml:space="preserve">.3  </w:t>
      </w:r>
      <w:r>
        <w:rPr>
          <w:rFonts w:hint="eastAsia"/>
        </w:rPr>
        <w:t>控制室等宜采用专用直配输电线路供电。根据工程的规模和重要性，确定负荷等级。控制室的专用变电站，宜采用站、变合一的供电管理方式。</w:t>
      </w:r>
    </w:p>
    <w:p>
      <w:r>
        <w:rPr>
          <w:b/>
          <w:bCs/>
        </w:rPr>
        <w:t>8</w:t>
      </w:r>
      <w:r>
        <w:rPr>
          <w:rFonts w:hint="eastAsia"/>
          <w:b/>
          <w:bCs/>
        </w:rPr>
        <w:t>.1.</w:t>
      </w:r>
      <w:r>
        <w:rPr>
          <w:b/>
          <w:bCs/>
        </w:rPr>
        <w:t>4</w:t>
      </w:r>
      <w:r>
        <w:rPr>
          <w:rFonts w:hint="eastAsia"/>
          <w:b/>
          <w:bCs/>
        </w:rPr>
        <w:t xml:space="preserve"> </w:t>
      </w:r>
      <w:r>
        <w:rPr>
          <w:rFonts w:hint="eastAsia"/>
        </w:rPr>
        <w:t xml:space="preserve"> 主变压器的额定容量应根据液压泵站的总负荷以及液压升降坝启动、运行方式等条件确定。</w:t>
      </w:r>
    </w:p>
    <w:p>
      <w:pPr>
        <w:pStyle w:val="5"/>
      </w:pPr>
      <w:bookmarkStart w:id="180" w:name="_Toc16513"/>
      <w:bookmarkStart w:id="181" w:name="_Toc58853870"/>
      <w:bookmarkStart w:id="182" w:name="_Toc29562"/>
      <w:r>
        <w:rPr>
          <w:rFonts w:hint="eastAsia"/>
        </w:rPr>
        <w:t>8.2  防雷接地</w:t>
      </w:r>
      <w:bookmarkEnd w:id="180"/>
      <w:bookmarkEnd w:id="181"/>
      <w:bookmarkEnd w:id="182"/>
    </w:p>
    <w:p>
      <w:r>
        <w:rPr>
          <w:b/>
          <w:bCs/>
        </w:rPr>
        <w:t>8</w:t>
      </w:r>
      <w:r>
        <w:rPr>
          <w:rFonts w:hint="eastAsia"/>
          <w:b/>
          <w:bCs/>
        </w:rPr>
        <w:t>.2.1</w:t>
      </w:r>
      <w:r>
        <w:rPr>
          <w:rFonts w:hint="eastAsia"/>
        </w:rPr>
        <w:t xml:space="preserve">  电气设备的电气回路应装设避雷器，在电气主接线各种运行方式下，均应使其在避雷器的保护范围内，避免雷电侵入波危害电气设备。且应缩短避雷器与变压器及其它被保护电气设备的电气距离。</w:t>
      </w:r>
    </w:p>
    <w:p>
      <w:r>
        <w:rPr>
          <w:b/>
          <w:bCs/>
        </w:rPr>
        <w:t>8.2.2</w:t>
      </w:r>
      <w:r>
        <w:rPr>
          <w:rFonts w:hint="eastAsia"/>
        </w:rPr>
        <w:t xml:space="preserve"> </w:t>
      </w:r>
      <w:r>
        <w:t xml:space="preserve"> </w:t>
      </w:r>
      <w:r>
        <w:rPr>
          <w:rFonts w:hint="eastAsia"/>
        </w:rPr>
        <w:t>应设置由接地装置构成的一个总接地系统，用于保护人身和设备安全运行。其接地电阻值应符合SL 587规定。</w:t>
      </w:r>
    </w:p>
    <w:p>
      <w:r>
        <w:rPr>
          <w:b/>
          <w:bCs/>
        </w:rPr>
        <w:t>8</w:t>
      </w:r>
      <w:r>
        <w:rPr>
          <w:rFonts w:hint="eastAsia"/>
          <w:b/>
          <w:bCs/>
        </w:rPr>
        <w:t>.2.</w:t>
      </w:r>
      <w:r>
        <w:rPr>
          <w:b/>
          <w:bCs/>
        </w:rPr>
        <w:t>3</w:t>
      </w:r>
      <w:r>
        <w:rPr>
          <w:rFonts w:hint="eastAsia"/>
        </w:rPr>
        <w:t xml:space="preserve">  接地装置应利用下列自然接地体：</w:t>
      </w:r>
    </w:p>
    <w:p>
      <w:pPr>
        <w:pStyle w:val="22"/>
        <w:ind w:firstLine="482"/>
      </w:pPr>
      <w:r>
        <w:rPr>
          <w:rFonts w:hint="eastAsia"/>
          <w:b/>
          <w:bCs/>
        </w:rPr>
        <w:t xml:space="preserve">1 </w:t>
      </w:r>
      <w:r>
        <w:rPr>
          <w:rFonts w:hint="eastAsia"/>
        </w:rPr>
        <w:t xml:space="preserve"> 与水或潮湿土壤相接触的水工建筑物的表层混凝土内的钢筋网，如液压升降坝混凝土基础﹑水下挡水墙﹑进（出）水口等处迎水面层钢筋网和潮湿廊道的钢筋网。</w:t>
      </w:r>
    </w:p>
    <w:p>
      <w:pPr>
        <w:pStyle w:val="22"/>
        <w:ind w:firstLine="482"/>
      </w:pPr>
      <w:r>
        <w:rPr>
          <w:rFonts w:hint="eastAsia"/>
          <w:b/>
          <w:bCs/>
        </w:rPr>
        <w:t xml:space="preserve">2 </w:t>
      </w:r>
      <w:r>
        <w:rPr>
          <w:rFonts w:hint="eastAsia"/>
        </w:rPr>
        <w:t xml:space="preserve"> 埋设在地下的压力钢管。</w:t>
      </w:r>
    </w:p>
    <w:p>
      <w:pPr>
        <w:pStyle w:val="22"/>
        <w:ind w:firstLine="482"/>
      </w:pPr>
      <w:r>
        <w:rPr>
          <w:rFonts w:hint="eastAsia"/>
          <w:b/>
          <w:bCs/>
        </w:rPr>
        <w:t>3</w:t>
      </w:r>
      <w:r>
        <w:rPr>
          <w:rFonts w:hint="eastAsia"/>
        </w:rPr>
        <w:t xml:space="preserve">  液压升降坝的预埋件的金属结构。</w:t>
      </w:r>
    </w:p>
    <w:p>
      <w:pPr>
        <w:pStyle w:val="22"/>
        <w:ind w:firstLine="482"/>
      </w:pPr>
      <w:r>
        <w:rPr>
          <w:rFonts w:hint="eastAsia"/>
          <w:b/>
          <w:bCs/>
        </w:rPr>
        <w:t xml:space="preserve">4 </w:t>
      </w:r>
      <w:r>
        <w:rPr>
          <w:rFonts w:hint="eastAsia"/>
        </w:rPr>
        <w:t xml:space="preserve"> 建筑物桩基础的钢筋笼。</w:t>
      </w:r>
    </w:p>
    <w:p>
      <w:pPr>
        <w:pStyle w:val="22"/>
      </w:pPr>
    </w:p>
    <w:p>
      <w:pPr>
        <w:pStyle w:val="5"/>
      </w:pPr>
      <w:bookmarkStart w:id="183" w:name="_Toc5805"/>
      <w:bookmarkStart w:id="184" w:name="_Toc22715"/>
      <w:bookmarkStart w:id="185" w:name="_Toc58853871"/>
      <w:r>
        <w:rPr>
          <w:rFonts w:hint="eastAsia"/>
        </w:rPr>
        <w:t>8.</w:t>
      </w:r>
      <w:r>
        <w:t>3</w:t>
      </w:r>
      <w:r>
        <w:rPr>
          <w:rFonts w:hint="eastAsia"/>
        </w:rPr>
        <w:t xml:space="preserve">  照明设计</w:t>
      </w:r>
      <w:bookmarkEnd w:id="183"/>
      <w:bookmarkEnd w:id="184"/>
      <w:bookmarkEnd w:id="185"/>
    </w:p>
    <w:p>
      <w:r>
        <w:rPr>
          <w:b/>
          <w:bCs/>
        </w:rPr>
        <w:t>8</w:t>
      </w:r>
      <w:r>
        <w:rPr>
          <w:rFonts w:hint="eastAsia"/>
          <w:b/>
          <w:bCs/>
        </w:rPr>
        <w:t xml:space="preserve">.3.1 </w:t>
      </w:r>
      <w:r>
        <w:rPr>
          <w:rFonts w:hint="eastAsia"/>
        </w:rPr>
        <w:t xml:space="preserve"> 照明设计应遵循安全可靠、经济合理、节能降耗、绿色环保以及美观适用的原则。照明功率密度值应符合GB 50034的规定。</w:t>
      </w:r>
    </w:p>
    <w:p>
      <w:r>
        <w:rPr>
          <w:b/>
          <w:bCs/>
        </w:rPr>
        <w:t>8</w:t>
      </w:r>
      <w:r>
        <w:rPr>
          <w:rFonts w:hint="eastAsia"/>
          <w:b/>
          <w:bCs/>
        </w:rPr>
        <w:t xml:space="preserve">.3.2 </w:t>
      </w:r>
      <w:r>
        <w:rPr>
          <w:rFonts w:hint="eastAsia"/>
        </w:rPr>
        <w:t xml:space="preserve"> 可根据场所用途和要求设置正常照明﹑应急照明和防汛应急照明等。</w:t>
      </w:r>
    </w:p>
    <w:p>
      <w:pPr>
        <w:widowControl/>
        <w:spacing w:line="360" w:lineRule="auto"/>
        <w:ind w:left="397"/>
        <w:jc w:val="left"/>
        <w:rPr>
          <w:rFonts w:ascii="宋体" w:hAnsi="宋体" w:cs="宋体"/>
        </w:rPr>
      </w:pPr>
    </w:p>
    <w:sectPr>
      <w:footerReference r:id="rId5" w:type="default"/>
      <w:pgSz w:w="11906" w:h="16838"/>
      <w:pgMar w:top="1417" w:right="1417" w:bottom="1417" w:left="1417" w:header="851" w:footer="385"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216"/>
      </w:tabs>
      <w:jc w:val="left"/>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216"/>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12</w:t>
    </w:r>
    <w:r>
      <w:fldChar w:fldCharType="end"/>
    </w:r>
  </w:p>
  <w:p>
    <w:pPr>
      <w:tabs>
        <w:tab w:val="center" w:pos="4153"/>
        <w:tab w:val="right" w:pos="8216"/>
      </w:tabs>
      <w:jc w:val="lef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162067"/>
    <w:rsid w:val="000078DA"/>
    <w:rsid w:val="0002073E"/>
    <w:rsid w:val="000355AC"/>
    <w:rsid w:val="00063730"/>
    <w:rsid w:val="00074BD4"/>
    <w:rsid w:val="0009527E"/>
    <w:rsid w:val="000A01E5"/>
    <w:rsid w:val="000A31C4"/>
    <w:rsid w:val="000B3B71"/>
    <w:rsid w:val="000C3243"/>
    <w:rsid w:val="000C3720"/>
    <w:rsid w:val="000C39D0"/>
    <w:rsid w:val="000C52E5"/>
    <w:rsid w:val="000D21FB"/>
    <w:rsid w:val="000F6ABB"/>
    <w:rsid w:val="00104A88"/>
    <w:rsid w:val="001064F7"/>
    <w:rsid w:val="00107284"/>
    <w:rsid w:val="0011213B"/>
    <w:rsid w:val="00117E5A"/>
    <w:rsid w:val="00124C78"/>
    <w:rsid w:val="001279B0"/>
    <w:rsid w:val="00146172"/>
    <w:rsid w:val="00160C2C"/>
    <w:rsid w:val="00177B7C"/>
    <w:rsid w:val="00180A80"/>
    <w:rsid w:val="0019068D"/>
    <w:rsid w:val="001A10C6"/>
    <w:rsid w:val="001A2A37"/>
    <w:rsid w:val="001A2B45"/>
    <w:rsid w:val="001B5FCA"/>
    <w:rsid w:val="001B7A3F"/>
    <w:rsid w:val="001D4299"/>
    <w:rsid w:val="001E2D3A"/>
    <w:rsid w:val="001E653C"/>
    <w:rsid w:val="001E6C62"/>
    <w:rsid w:val="001E7271"/>
    <w:rsid w:val="001F6197"/>
    <w:rsid w:val="002078AD"/>
    <w:rsid w:val="002079C4"/>
    <w:rsid w:val="00210FB5"/>
    <w:rsid w:val="002165B9"/>
    <w:rsid w:val="00240B3C"/>
    <w:rsid w:val="00247B71"/>
    <w:rsid w:val="00254137"/>
    <w:rsid w:val="00266679"/>
    <w:rsid w:val="00296AD5"/>
    <w:rsid w:val="002A47B8"/>
    <w:rsid w:val="002B2216"/>
    <w:rsid w:val="002C48BD"/>
    <w:rsid w:val="002D23FC"/>
    <w:rsid w:val="002D4E26"/>
    <w:rsid w:val="002F476A"/>
    <w:rsid w:val="002F69C8"/>
    <w:rsid w:val="0030388D"/>
    <w:rsid w:val="00305854"/>
    <w:rsid w:val="0030761D"/>
    <w:rsid w:val="00336CB6"/>
    <w:rsid w:val="003451C9"/>
    <w:rsid w:val="00346E7F"/>
    <w:rsid w:val="003516A1"/>
    <w:rsid w:val="00351AD2"/>
    <w:rsid w:val="00354253"/>
    <w:rsid w:val="003578D2"/>
    <w:rsid w:val="00363106"/>
    <w:rsid w:val="003653E7"/>
    <w:rsid w:val="00367FC8"/>
    <w:rsid w:val="00385C23"/>
    <w:rsid w:val="003878EC"/>
    <w:rsid w:val="003B1F8D"/>
    <w:rsid w:val="003B2668"/>
    <w:rsid w:val="003B6E88"/>
    <w:rsid w:val="003C2B94"/>
    <w:rsid w:val="003E07B4"/>
    <w:rsid w:val="003E1674"/>
    <w:rsid w:val="003E52A0"/>
    <w:rsid w:val="003F7A61"/>
    <w:rsid w:val="0040271F"/>
    <w:rsid w:val="004124FB"/>
    <w:rsid w:val="00413A50"/>
    <w:rsid w:val="00422E2E"/>
    <w:rsid w:val="00443D25"/>
    <w:rsid w:val="004461E4"/>
    <w:rsid w:val="0045183D"/>
    <w:rsid w:val="00453F10"/>
    <w:rsid w:val="004559E8"/>
    <w:rsid w:val="00465B3B"/>
    <w:rsid w:val="004757C5"/>
    <w:rsid w:val="00482AE0"/>
    <w:rsid w:val="00487061"/>
    <w:rsid w:val="00494603"/>
    <w:rsid w:val="004A0705"/>
    <w:rsid w:val="004A6EAA"/>
    <w:rsid w:val="004B27E3"/>
    <w:rsid w:val="004B420D"/>
    <w:rsid w:val="004B6C97"/>
    <w:rsid w:val="004C2F48"/>
    <w:rsid w:val="004D4804"/>
    <w:rsid w:val="004D56BC"/>
    <w:rsid w:val="004E0B63"/>
    <w:rsid w:val="004E1916"/>
    <w:rsid w:val="004E245C"/>
    <w:rsid w:val="004F14FD"/>
    <w:rsid w:val="004F1D00"/>
    <w:rsid w:val="00535AC1"/>
    <w:rsid w:val="00537E44"/>
    <w:rsid w:val="005412BD"/>
    <w:rsid w:val="00555CEC"/>
    <w:rsid w:val="00565EA2"/>
    <w:rsid w:val="00583FB2"/>
    <w:rsid w:val="00591CD6"/>
    <w:rsid w:val="005A658E"/>
    <w:rsid w:val="005A7463"/>
    <w:rsid w:val="005B1EC4"/>
    <w:rsid w:val="005B385A"/>
    <w:rsid w:val="005C03CB"/>
    <w:rsid w:val="005C2537"/>
    <w:rsid w:val="005C356D"/>
    <w:rsid w:val="005E1CF9"/>
    <w:rsid w:val="005E78D9"/>
    <w:rsid w:val="005F6F0D"/>
    <w:rsid w:val="005F73C1"/>
    <w:rsid w:val="00605B38"/>
    <w:rsid w:val="0061254A"/>
    <w:rsid w:val="00613F41"/>
    <w:rsid w:val="00616451"/>
    <w:rsid w:val="0062094A"/>
    <w:rsid w:val="00624DCC"/>
    <w:rsid w:val="00634265"/>
    <w:rsid w:val="00647AD3"/>
    <w:rsid w:val="0068203D"/>
    <w:rsid w:val="00695E84"/>
    <w:rsid w:val="006A5D1E"/>
    <w:rsid w:val="006C5372"/>
    <w:rsid w:val="006C7A00"/>
    <w:rsid w:val="006F559E"/>
    <w:rsid w:val="006F7ECC"/>
    <w:rsid w:val="00705107"/>
    <w:rsid w:val="00705441"/>
    <w:rsid w:val="0071362B"/>
    <w:rsid w:val="007218F5"/>
    <w:rsid w:val="007230FA"/>
    <w:rsid w:val="00725DDF"/>
    <w:rsid w:val="0075171B"/>
    <w:rsid w:val="0075754C"/>
    <w:rsid w:val="0076273C"/>
    <w:rsid w:val="00764141"/>
    <w:rsid w:val="00772DEE"/>
    <w:rsid w:val="0078208D"/>
    <w:rsid w:val="00790075"/>
    <w:rsid w:val="007A1CE1"/>
    <w:rsid w:val="007A29E7"/>
    <w:rsid w:val="007A5CC3"/>
    <w:rsid w:val="007D1E3D"/>
    <w:rsid w:val="007D2030"/>
    <w:rsid w:val="007F0929"/>
    <w:rsid w:val="007F1372"/>
    <w:rsid w:val="0081519D"/>
    <w:rsid w:val="00822D21"/>
    <w:rsid w:val="00833323"/>
    <w:rsid w:val="00834726"/>
    <w:rsid w:val="0085503E"/>
    <w:rsid w:val="00856433"/>
    <w:rsid w:val="00857DE4"/>
    <w:rsid w:val="00871B15"/>
    <w:rsid w:val="00872339"/>
    <w:rsid w:val="00880067"/>
    <w:rsid w:val="008846A6"/>
    <w:rsid w:val="00890892"/>
    <w:rsid w:val="00892DF3"/>
    <w:rsid w:val="008A2740"/>
    <w:rsid w:val="008A2F9B"/>
    <w:rsid w:val="008A6084"/>
    <w:rsid w:val="008B0EF8"/>
    <w:rsid w:val="008B4AFD"/>
    <w:rsid w:val="008C2EFF"/>
    <w:rsid w:val="008D0D7C"/>
    <w:rsid w:val="008D0DF5"/>
    <w:rsid w:val="0090063F"/>
    <w:rsid w:val="00926462"/>
    <w:rsid w:val="00936808"/>
    <w:rsid w:val="009527F8"/>
    <w:rsid w:val="00953B16"/>
    <w:rsid w:val="00960D48"/>
    <w:rsid w:val="00992136"/>
    <w:rsid w:val="0099297F"/>
    <w:rsid w:val="009A5873"/>
    <w:rsid w:val="009B4BA9"/>
    <w:rsid w:val="009B4CC7"/>
    <w:rsid w:val="009B5A27"/>
    <w:rsid w:val="009D244E"/>
    <w:rsid w:val="009E491C"/>
    <w:rsid w:val="009E54AB"/>
    <w:rsid w:val="009E6847"/>
    <w:rsid w:val="00A06F00"/>
    <w:rsid w:val="00A26A11"/>
    <w:rsid w:val="00A27AC1"/>
    <w:rsid w:val="00A34A5F"/>
    <w:rsid w:val="00A44815"/>
    <w:rsid w:val="00A602DC"/>
    <w:rsid w:val="00A707EE"/>
    <w:rsid w:val="00A761C6"/>
    <w:rsid w:val="00A81539"/>
    <w:rsid w:val="00AA4EE0"/>
    <w:rsid w:val="00AA78EC"/>
    <w:rsid w:val="00AB0755"/>
    <w:rsid w:val="00AD21F8"/>
    <w:rsid w:val="00AD6258"/>
    <w:rsid w:val="00AD71D6"/>
    <w:rsid w:val="00AE5F15"/>
    <w:rsid w:val="00AF39C1"/>
    <w:rsid w:val="00AF484A"/>
    <w:rsid w:val="00AF70CD"/>
    <w:rsid w:val="00AF7278"/>
    <w:rsid w:val="00B02EBF"/>
    <w:rsid w:val="00B11161"/>
    <w:rsid w:val="00B304D5"/>
    <w:rsid w:val="00B33E89"/>
    <w:rsid w:val="00B34D6E"/>
    <w:rsid w:val="00B37558"/>
    <w:rsid w:val="00B44F6F"/>
    <w:rsid w:val="00B57E4F"/>
    <w:rsid w:val="00B725B3"/>
    <w:rsid w:val="00B74388"/>
    <w:rsid w:val="00B77C59"/>
    <w:rsid w:val="00B80890"/>
    <w:rsid w:val="00B83DB8"/>
    <w:rsid w:val="00B934ED"/>
    <w:rsid w:val="00B9665C"/>
    <w:rsid w:val="00BC0F51"/>
    <w:rsid w:val="00BC3AD9"/>
    <w:rsid w:val="00BC4A1B"/>
    <w:rsid w:val="00BC5470"/>
    <w:rsid w:val="00BC6388"/>
    <w:rsid w:val="00BD264C"/>
    <w:rsid w:val="00BE4D74"/>
    <w:rsid w:val="00BF55A8"/>
    <w:rsid w:val="00BF7CED"/>
    <w:rsid w:val="00C055C0"/>
    <w:rsid w:val="00C066F6"/>
    <w:rsid w:val="00C22365"/>
    <w:rsid w:val="00C2285E"/>
    <w:rsid w:val="00C42C5D"/>
    <w:rsid w:val="00C44A16"/>
    <w:rsid w:val="00C44D93"/>
    <w:rsid w:val="00C6250D"/>
    <w:rsid w:val="00C653FD"/>
    <w:rsid w:val="00C666FB"/>
    <w:rsid w:val="00C80462"/>
    <w:rsid w:val="00CA1DC3"/>
    <w:rsid w:val="00CA236E"/>
    <w:rsid w:val="00CA30D9"/>
    <w:rsid w:val="00CB74BA"/>
    <w:rsid w:val="00CD5845"/>
    <w:rsid w:val="00CE3F74"/>
    <w:rsid w:val="00CF4B59"/>
    <w:rsid w:val="00CF716F"/>
    <w:rsid w:val="00D12F37"/>
    <w:rsid w:val="00D14890"/>
    <w:rsid w:val="00D1537D"/>
    <w:rsid w:val="00D23153"/>
    <w:rsid w:val="00D322CC"/>
    <w:rsid w:val="00D342BB"/>
    <w:rsid w:val="00D41F59"/>
    <w:rsid w:val="00D712A9"/>
    <w:rsid w:val="00D71492"/>
    <w:rsid w:val="00D7200F"/>
    <w:rsid w:val="00D86188"/>
    <w:rsid w:val="00DA4413"/>
    <w:rsid w:val="00DA5EB1"/>
    <w:rsid w:val="00DB7C9B"/>
    <w:rsid w:val="00DF3191"/>
    <w:rsid w:val="00DF5292"/>
    <w:rsid w:val="00E06531"/>
    <w:rsid w:val="00E13285"/>
    <w:rsid w:val="00E2168D"/>
    <w:rsid w:val="00E245A4"/>
    <w:rsid w:val="00E24A68"/>
    <w:rsid w:val="00E24E21"/>
    <w:rsid w:val="00E33AB5"/>
    <w:rsid w:val="00E3746F"/>
    <w:rsid w:val="00E4131D"/>
    <w:rsid w:val="00E53ACF"/>
    <w:rsid w:val="00E55E14"/>
    <w:rsid w:val="00E62C8D"/>
    <w:rsid w:val="00E717B5"/>
    <w:rsid w:val="00E73F0D"/>
    <w:rsid w:val="00E74076"/>
    <w:rsid w:val="00E760F7"/>
    <w:rsid w:val="00E864D5"/>
    <w:rsid w:val="00E90250"/>
    <w:rsid w:val="00E96ED6"/>
    <w:rsid w:val="00E96FEA"/>
    <w:rsid w:val="00EA421F"/>
    <w:rsid w:val="00EA561F"/>
    <w:rsid w:val="00EB5D13"/>
    <w:rsid w:val="00ED0BA6"/>
    <w:rsid w:val="00ED1776"/>
    <w:rsid w:val="00EE26DC"/>
    <w:rsid w:val="00EF13F8"/>
    <w:rsid w:val="00F10006"/>
    <w:rsid w:val="00F122BD"/>
    <w:rsid w:val="00F21393"/>
    <w:rsid w:val="00F30AD4"/>
    <w:rsid w:val="00F35C75"/>
    <w:rsid w:val="00F35F86"/>
    <w:rsid w:val="00F46FE7"/>
    <w:rsid w:val="00F81098"/>
    <w:rsid w:val="00F8372E"/>
    <w:rsid w:val="00F83FA6"/>
    <w:rsid w:val="00F909C8"/>
    <w:rsid w:val="00FA2959"/>
    <w:rsid w:val="00FA3B0F"/>
    <w:rsid w:val="00FA6D1F"/>
    <w:rsid w:val="00FB3407"/>
    <w:rsid w:val="00FC30BA"/>
    <w:rsid w:val="00FD0CD7"/>
    <w:rsid w:val="00FD0F7C"/>
    <w:rsid w:val="00FD6793"/>
    <w:rsid w:val="00FE2D06"/>
    <w:rsid w:val="00FE5FDC"/>
    <w:rsid w:val="00FF1F74"/>
    <w:rsid w:val="00FF533F"/>
    <w:rsid w:val="016D124C"/>
    <w:rsid w:val="02BE13FA"/>
    <w:rsid w:val="02D4297E"/>
    <w:rsid w:val="03841CCB"/>
    <w:rsid w:val="03F25A11"/>
    <w:rsid w:val="04F2258C"/>
    <w:rsid w:val="06D14A0B"/>
    <w:rsid w:val="09E0556E"/>
    <w:rsid w:val="0BFB45F6"/>
    <w:rsid w:val="0CCE47A9"/>
    <w:rsid w:val="0D64176E"/>
    <w:rsid w:val="0EE903C9"/>
    <w:rsid w:val="10013999"/>
    <w:rsid w:val="10D904B0"/>
    <w:rsid w:val="15587E7A"/>
    <w:rsid w:val="17450A8E"/>
    <w:rsid w:val="18BF51C1"/>
    <w:rsid w:val="1B2A3B46"/>
    <w:rsid w:val="1CC609AE"/>
    <w:rsid w:val="1EB93CF5"/>
    <w:rsid w:val="21EE3DAD"/>
    <w:rsid w:val="234C479E"/>
    <w:rsid w:val="23DE0793"/>
    <w:rsid w:val="2458792F"/>
    <w:rsid w:val="27B94018"/>
    <w:rsid w:val="281309DA"/>
    <w:rsid w:val="283E5A00"/>
    <w:rsid w:val="29220FFC"/>
    <w:rsid w:val="2BC01876"/>
    <w:rsid w:val="2EEB5755"/>
    <w:rsid w:val="2FAC016B"/>
    <w:rsid w:val="30795C89"/>
    <w:rsid w:val="30F62487"/>
    <w:rsid w:val="31162067"/>
    <w:rsid w:val="31FC1753"/>
    <w:rsid w:val="3301067D"/>
    <w:rsid w:val="332424B0"/>
    <w:rsid w:val="33683FF1"/>
    <w:rsid w:val="345D7795"/>
    <w:rsid w:val="36D03749"/>
    <w:rsid w:val="37235544"/>
    <w:rsid w:val="385A76E1"/>
    <w:rsid w:val="39925D31"/>
    <w:rsid w:val="39DB4806"/>
    <w:rsid w:val="3AA66DA3"/>
    <w:rsid w:val="3C3D19D8"/>
    <w:rsid w:val="3C487D62"/>
    <w:rsid w:val="3C5A4301"/>
    <w:rsid w:val="3C634EC4"/>
    <w:rsid w:val="3E105934"/>
    <w:rsid w:val="3F0446BE"/>
    <w:rsid w:val="40F32E33"/>
    <w:rsid w:val="40F75C63"/>
    <w:rsid w:val="413F5289"/>
    <w:rsid w:val="41E86115"/>
    <w:rsid w:val="42D46C91"/>
    <w:rsid w:val="432D7616"/>
    <w:rsid w:val="436747C5"/>
    <w:rsid w:val="449C40CF"/>
    <w:rsid w:val="455408A6"/>
    <w:rsid w:val="481621AA"/>
    <w:rsid w:val="484214E2"/>
    <w:rsid w:val="49C22FED"/>
    <w:rsid w:val="4BF04F4B"/>
    <w:rsid w:val="4C7F1A3A"/>
    <w:rsid w:val="4D272F4A"/>
    <w:rsid w:val="4DDC7BFD"/>
    <w:rsid w:val="50E8307A"/>
    <w:rsid w:val="516E442B"/>
    <w:rsid w:val="53F11FCC"/>
    <w:rsid w:val="545433D2"/>
    <w:rsid w:val="54BB76A0"/>
    <w:rsid w:val="56187173"/>
    <w:rsid w:val="56271900"/>
    <w:rsid w:val="56B24A09"/>
    <w:rsid w:val="582A34DF"/>
    <w:rsid w:val="5AE0641F"/>
    <w:rsid w:val="5C5471D3"/>
    <w:rsid w:val="5CD6299A"/>
    <w:rsid w:val="5CFC2837"/>
    <w:rsid w:val="60E41915"/>
    <w:rsid w:val="62A40435"/>
    <w:rsid w:val="63FE1475"/>
    <w:rsid w:val="64B12E0A"/>
    <w:rsid w:val="64EF2DD6"/>
    <w:rsid w:val="65013330"/>
    <w:rsid w:val="66037F85"/>
    <w:rsid w:val="669C0864"/>
    <w:rsid w:val="66C30A31"/>
    <w:rsid w:val="69EB0E65"/>
    <w:rsid w:val="6C810194"/>
    <w:rsid w:val="6D034D63"/>
    <w:rsid w:val="6D085C23"/>
    <w:rsid w:val="6D9C123E"/>
    <w:rsid w:val="6DFB531E"/>
    <w:rsid w:val="6E3E3168"/>
    <w:rsid w:val="6E4A6DD7"/>
    <w:rsid w:val="72AA1EA3"/>
    <w:rsid w:val="72D74E7D"/>
    <w:rsid w:val="73EA5212"/>
    <w:rsid w:val="755A6D5B"/>
    <w:rsid w:val="77DC351E"/>
    <w:rsid w:val="78004FE4"/>
    <w:rsid w:val="790C5CCD"/>
    <w:rsid w:val="79192896"/>
    <w:rsid w:val="79996D54"/>
    <w:rsid w:val="7BCD1C35"/>
    <w:rsid w:val="7EA55FF8"/>
    <w:rsid w:val="7F582F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Times New Roman" w:hAnsi="Times New Roman" w:eastAsia="宋体" w:cs="Times New Roman"/>
      <w:kern w:val="2"/>
      <w:sz w:val="24"/>
      <w:szCs w:val="22"/>
      <w:lang w:val="en-US" w:eastAsia="zh-CN" w:bidi="ar-SA"/>
    </w:rPr>
  </w:style>
  <w:style w:type="paragraph" w:styleId="4">
    <w:name w:val="heading 1"/>
    <w:basedOn w:val="1"/>
    <w:next w:val="1"/>
    <w:link w:val="24"/>
    <w:qFormat/>
    <w:uiPriority w:val="9"/>
    <w:pPr>
      <w:keepNext/>
      <w:keepLines/>
      <w:spacing w:before="100" w:after="100" w:line="240" w:lineRule="auto"/>
      <w:jc w:val="center"/>
      <w:outlineLvl w:val="0"/>
    </w:pPr>
    <w:rPr>
      <w:b/>
      <w:bCs/>
      <w:kern w:val="44"/>
      <w:sz w:val="32"/>
      <w:szCs w:val="44"/>
    </w:rPr>
  </w:style>
  <w:style w:type="paragraph" w:styleId="5">
    <w:name w:val="heading 2"/>
    <w:basedOn w:val="1"/>
    <w:next w:val="1"/>
    <w:link w:val="16"/>
    <w:qFormat/>
    <w:uiPriority w:val="99"/>
    <w:pPr>
      <w:keepNext/>
      <w:keepLines/>
      <w:spacing w:before="100" w:after="100" w:line="240" w:lineRule="auto"/>
      <w:jc w:val="center"/>
      <w:outlineLvl w:val="1"/>
    </w:pPr>
    <w:rPr>
      <w:rFonts w:eastAsia="黑体"/>
      <w:b/>
      <w:bCs/>
      <w:sz w:val="28"/>
      <w:szCs w:val="32"/>
      <w:lang w:val="zh-CN" w:eastAsia="zh-CN"/>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hAnsi="Times New Roman"/>
    </w:rPr>
  </w:style>
  <w:style w:type="paragraph" w:styleId="3">
    <w:name w:val="Body Text Indent"/>
    <w:basedOn w:val="1"/>
    <w:qFormat/>
    <w:uiPriority w:val="99"/>
    <w:pPr>
      <w:spacing w:after="120"/>
      <w:ind w:left="420" w:leftChars="200"/>
    </w:pPr>
  </w:style>
  <w:style w:type="paragraph" w:styleId="6">
    <w:name w:val="Balloon Text"/>
    <w:basedOn w:val="1"/>
    <w:link w:val="23"/>
    <w:uiPriority w:val="0"/>
    <w:pPr>
      <w:spacing w:line="240" w:lineRule="auto"/>
    </w:pPr>
    <w:rPr>
      <w:sz w:val="18"/>
      <w:szCs w:val="18"/>
      <w:lang w:val="zh-CN" w:eastAsia="zh-CN"/>
    </w:rPr>
  </w:style>
  <w:style w:type="paragraph" w:styleId="7">
    <w:name w:val="footer"/>
    <w:basedOn w:val="1"/>
    <w:link w:val="17"/>
    <w:uiPriority w:val="99"/>
    <w:pPr>
      <w:tabs>
        <w:tab w:val="center" w:pos="4153"/>
        <w:tab w:val="right" w:pos="8306"/>
      </w:tabs>
      <w:snapToGrid w:val="0"/>
      <w:jc w:val="left"/>
    </w:pPr>
    <w:rPr>
      <w:sz w:val="18"/>
      <w:lang w:val="zh-CN" w:eastAsia="zh-CN"/>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39"/>
    <w:pPr>
      <w:spacing w:line="400" w:lineRule="exact"/>
      <w:jc w:val="left"/>
    </w:pPr>
    <w:rPr>
      <w:b/>
      <w:bCs/>
      <w:szCs w:val="20"/>
    </w:rPr>
  </w:style>
  <w:style w:type="paragraph" w:styleId="10">
    <w:name w:val="toc 2"/>
    <w:basedOn w:val="1"/>
    <w:next w:val="1"/>
    <w:unhideWhenUsed/>
    <w:qFormat/>
    <w:uiPriority w:val="39"/>
    <w:pPr>
      <w:spacing w:line="400" w:lineRule="exact"/>
      <w:ind w:firstLine="480" w:firstLineChars="200"/>
      <w:jc w:val="left"/>
    </w:pPr>
    <w:rPr>
      <w:iCs/>
      <w:sz w:val="21"/>
      <w:szCs w:val="20"/>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unhideWhenUsed/>
    <w:uiPriority w:val="99"/>
    <w:rPr>
      <w:color w:val="0563C1"/>
      <w:u w:val="single"/>
    </w:rPr>
  </w:style>
  <w:style w:type="character" w:customStyle="1" w:styleId="16">
    <w:name w:val="标题 2 Char"/>
    <w:link w:val="5"/>
    <w:uiPriority w:val="99"/>
    <w:rPr>
      <w:rFonts w:eastAsia="黑体"/>
      <w:b/>
      <w:bCs/>
      <w:kern w:val="2"/>
      <w:sz w:val="28"/>
      <w:szCs w:val="32"/>
    </w:rPr>
  </w:style>
  <w:style w:type="character" w:customStyle="1" w:styleId="17">
    <w:name w:val="页脚 Char"/>
    <w:link w:val="7"/>
    <w:uiPriority w:val="99"/>
    <w:rPr>
      <w:kern w:val="2"/>
      <w:sz w:val="18"/>
      <w:szCs w:val="22"/>
    </w:rPr>
  </w:style>
  <w:style w:type="paragraph" w:customStyle="1" w:styleId="18">
    <w:name w:val="表头"/>
    <w:basedOn w:val="1"/>
    <w:qFormat/>
    <w:uiPriority w:val="0"/>
    <w:pPr>
      <w:jc w:val="center"/>
    </w:pPr>
    <w:rPr>
      <w:rFonts w:eastAsia="黑体"/>
      <w:b/>
    </w:rPr>
  </w:style>
  <w:style w:type="paragraph" w:customStyle="1" w:styleId="19">
    <w:name w:val="表"/>
    <w:basedOn w:val="1"/>
    <w:qFormat/>
    <w:uiPriority w:val="0"/>
    <w:pPr>
      <w:spacing w:line="400" w:lineRule="exact"/>
      <w:jc w:val="center"/>
    </w:pPr>
    <w:rPr>
      <w:sz w:val="21"/>
    </w:rPr>
  </w:style>
  <w:style w:type="paragraph" w:customStyle="1" w:styleId="20">
    <w:name w:val="图片"/>
    <w:basedOn w:val="1"/>
    <w:qFormat/>
    <w:uiPriority w:val="0"/>
    <w:pPr>
      <w:spacing w:before="100" w:after="100" w:line="240" w:lineRule="auto"/>
      <w:jc w:val="center"/>
    </w:pPr>
    <w:rPr>
      <w:sz w:val="21"/>
    </w:rPr>
  </w:style>
  <w:style w:type="paragraph" w:customStyle="1" w:styleId="21">
    <w:name w:val="正文缩进4"/>
    <w:basedOn w:val="1"/>
    <w:qFormat/>
    <w:uiPriority w:val="0"/>
    <w:pPr>
      <w:ind w:firstLine="960" w:firstLineChars="400"/>
    </w:pPr>
  </w:style>
  <w:style w:type="paragraph" w:customStyle="1" w:styleId="22">
    <w:name w:val="正文缩进2"/>
    <w:basedOn w:val="1"/>
    <w:qFormat/>
    <w:uiPriority w:val="0"/>
    <w:pPr>
      <w:ind w:firstLine="480" w:firstLineChars="200"/>
    </w:pPr>
  </w:style>
  <w:style w:type="character" w:customStyle="1" w:styleId="23">
    <w:name w:val="批注框文本 Char"/>
    <w:link w:val="6"/>
    <w:uiPriority w:val="0"/>
    <w:rPr>
      <w:kern w:val="2"/>
      <w:sz w:val="18"/>
      <w:szCs w:val="18"/>
    </w:rPr>
  </w:style>
  <w:style w:type="character" w:customStyle="1" w:styleId="24">
    <w:name w:val="标题 1 Char"/>
    <w:basedOn w:val="14"/>
    <w:link w:val="4"/>
    <w:uiPriority w:val="9"/>
    <w:rPr>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1255</Words>
  <Characters>7158</Characters>
  <Lines>59</Lines>
  <Paragraphs>16</Paragraphs>
  <TotalTime>1</TotalTime>
  <ScaleCrop>false</ScaleCrop>
  <LinksUpToDate>false</LinksUpToDate>
  <CharactersWithSpaces>8397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2020-12-14T08:14:00Z</dcterms:created>
  <dc:creator>没有如果1371709857</dc:creator>
  <cp:lastModifiedBy>Dong CJ</cp:lastModifiedBy>
  <cp:lastPrinted>2020-12-04T03:09:00Z</cp:lastPrinted>
  <dcterms:modified xsi:type="dcterms:W3CDTF">2020-12-14T08:14:49Z</dcterms:modified>
  <dc:title>ICS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