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40" w:lineRule="atLeast"/>
        <w:jc w:val="center"/>
        <w:outlineLvl w:val="0"/>
        <w:rPr>
          <w:rFonts w:ascii="黑体" w:hAnsi="黑体" w:eastAsia="黑体" w:cs="宋体"/>
          <w:color w:val="000000"/>
          <w:kern w:val="36"/>
          <w:sz w:val="30"/>
          <w:szCs w:val="30"/>
        </w:rPr>
      </w:pPr>
      <w:bookmarkStart w:id="0" w:name="_GoBack"/>
      <w:r>
        <w:rPr>
          <w:rFonts w:hint="eastAsia" w:ascii="黑体" w:hAnsi="黑体" w:eastAsia="黑体" w:cs="宋体"/>
          <w:color w:val="000000"/>
          <w:kern w:val="36"/>
          <w:sz w:val="30"/>
          <w:szCs w:val="30"/>
        </w:rPr>
        <w:t>标准联通“一带一路”行动计划（2015—2017）</w:t>
      </w:r>
    </w:p>
    <w:bookmarkEnd w:id="0"/>
    <w:p>
      <w:pPr>
        <w:widowControl/>
        <w:shd w:val="clear" w:color="auto" w:fill="FFFFFF"/>
        <w:spacing w:line="378" w:lineRule="atLeast"/>
        <w:jc w:val="left"/>
        <w:rPr>
          <w:rFonts w:hint="eastAsia" w:ascii="宋体" w:hAnsi="宋体" w:eastAsia="宋体" w:cs="宋体"/>
          <w:color w:val="333333"/>
          <w:kern w:val="0"/>
          <w:szCs w:val="21"/>
        </w:rPr>
      </w:pPr>
    </w:p>
    <w:p>
      <w:pPr>
        <w:widowControl/>
        <w:shd w:val="clear" w:color="auto" w:fill="FFFFFF"/>
        <w:spacing w:line="378" w:lineRule="atLeast"/>
        <w:jc w:val="left"/>
        <w:rPr>
          <w:rFonts w:ascii="宋体" w:hAnsi="宋体" w:eastAsia="宋体" w:cs="宋体"/>
          <w:color w:val="333333"/>
          <w:kern w:val="0"/>
          <w:szCs w:val="21"/>
        </w:rPr>
      </w:pPr>
      <w:r>
        <w:rPr>
          <w:rFonts w:hint="eastAsia" w:ascii="宋体" w:hAnsi="宋体" w:eastAsia="宋体" w:cs="宋体"/>
          <w:color w:val="333333"/>
          <w:kern w:val="0"/>
          <w:szCs w:val="21"/>
        </w:rPr>
        <w:t>　经推进“</w:t>
      </w:r>
      <w:r>
        <w:fldChar w:fldCharType="begin"/>
      </w:r>
      <w:r>
        <w:instrText xml:space="preserve"> HYPERLINK "http://jingzhi.funds.hexun.com/168201.shtml" \t "_blank" </w:instrText>
      </w:r>
      <w:r>
        <w:fldChar w:fldCharType="separate"/>
      </w:r>
      <w:r>
        <w:rPr>
          <w:rFonts w:hint="eastAsia" w:ascii="宋体" w:hAnsi="宋体" w:eastAsia="宋体" w:cs="宋体"/>
          <w:color w:val="485A90"/>
          <w:kern w:val="0"/>
          <w:u w:val="single"/>
        </w:rPr>
        <w:t>一带一路</w:t>
      </w:r>
      <w:r>
        <w:rPr>
          <w:rFonts w:hint="eastAsia" w:ascii="宋体" w:hAnsi="宋体" w:eastAsia="宋体" w:cs="宋体"/>
          <w:color w:val="485A90"/>
          <w:kern w:val="0"/>
          <w:u w:val="single"/>
        </w:rPr>
        <w:fldChar w:fldCharType="end"/>
      </w:r>
      <w:r>
        <w:rPr>
          <w:rFonts w:hint="eastAsia" w:ascii="宋体" w:hAnsi="宋体" w:eastAsia="宋体" w:cs="宋体"/>
          <w:color w:val="333333"/>
          <w:kern w:val="0"/>
          <w:szCs w:val="21"/>
        </w:rPr>
        <w:t>”建设工作领导小组同意，领导小组办公室22日发布了《标准联通“一带一路”行动计划（2015—2017）》。全文如下：</w:t>
      </w:r>
    </w:p>
    <w:p>
      <w:pPr>
        <w:widowControl/>
        <w:shd w:val="clear" w:color="auto" w:fill="FFFFFF"/>
        <w:spacing w:before="180" w:after="180" w:line="378"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w:t>
      </w:r>
    </w:p>
    <w:p>
      <w:pPr>
        <w:widowControl/>
        <w:shd w:val="clear" w:color="auto" w:fill="FFFFFF"/>
        <w:spacing w:line="378" w:lineRule="atLeast"/>
        <w:jc w:val="center"/>
        <w:rPr>
          <w:rFonts w:hint="eastAsia" w:ascii="宋体" w:hAnsi="宋体" w:eastAsia="宋体" w:cs="宋体"/>
          <w:color w:val="333333"/>
          <w:kern w:val="0"/>
          <w:szCs w:val="21"/>
        </w:rPr>
      </w:pPr>
      <w:r>
        <w:rPr>
          <w:rFonts w:hint="eastAsia" w:ascii="宋体" w:hAnsi="宋体" w:eastAsia="宋体" w:cs="宋体"/>
          <w:color w:val="333333"/>
          <w:kern w:val="0"/>
          <w:szCs w:val="21"/>
        </w:rPr>
        <w:t>　　</w:t>
      </w:r>
      <w:r>
        <w:rPr>
          <w:rFonts w:hint="eastAsia" w:ascii="宋体" w:hAnsi="宋体" w:eastAsia="宋体" w:cs="宋体"/>
          <w:b/>
          <w:bCs/>
          <w:color w:val="333333"/>
          <w:kern w:val="0"/>
        </w:rPr>
        <w:t>标准联通“一带一路”行动计划（2015—2017）</w:t>
      </w:r>
    </w:p>
    <w:p>
      <w:pPr>
        <w:widowControl/>
        <w:shd w:val="clear" w:color="auto" w:fill="FFFFFF"/>
        <w:spacing w:before="180" w:after="180" w:line="378"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为贯彻落实《推动共建丝绸之路经济带和21世纪海上丝绸之路的愿景与行动》（以下简称《愿景与行动》）中提出的各项标准化工作任务，充分发挥标准化在推进“一带一路”建设中的基础和支撑作用，制定本行动计划。</w:t>
      </w:r>
    </w:p>
    <w:p>
      <w:pPr>
        <w:widowControl/>
        <w:shd w:val="clear" w:color="auto" w:fill="FFFFFF"/>
        <w:spacing w:line="378"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w:t>
      </w:r>
      <w:r>
        <w:rPr>
          <w:rFonts w:hint="eastAsia" w:ascii="宋体" w:hAnsi="宋体" w:eastAsia="宋体" w:cs="宋体"/>
          <w:b/>
          <w:bCs/>
          <w:color w:val="333333"/>
          <w:kern w:val="0"/>
        </w:rPr>
        <w:t>一、指导思想</w:t>
      </w:r>
    </w:p>
    <w:p>
      <w:pPr>
        <w:widowControl/>
        <w:shd w:val="clear" w:color="auto" w:fill="FFFFFF"/>
        <w:spacing w:line="378"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全面贯彻党的</w:t>
      </w:r>
      <w:r>
        <w:fldChar w:fldCharType="begin"/>
      </w:r>
      <w:r>
        <w:instrText xml:space="preserve"> HYPERLINK "http://news.hexun.com/2012/dbdh/" \t "_blank" </w:instrText>
      </w:r>
      <w:r>
        <w:fldChar w:fldCharType="separate"/>
      </w:r>
      <w:r>
        <w:rPr>
          <w:rFonts w:hint="eastAsia" w:ascii="宋体" w:hAnsi="宋体" w:eastAsia="宋体" w:cs="宋体"/>
          <w:color w:val="485A90"/>
          <w:kern w:val="0"/>
          <w:u w:val="single"/>
        </w:rPr>
        <w:t>十八大</w:t>
      </w:r>
      <w:r>
        <w:rPr>
          <w:rFonts w:hint="eastAsia" w:ascii="宋体" w:hAnsi="宋体" w:eastAsia="宋体" w:cs="宋体"/>
          <w:color w:val="485A90"/>
          <w:kern w:val="0"/>
          <w:u w:val="single"/>
        </w:rPr>
        <w:fldChar w:fldCharType="end"/>
      </w:r>
      <w:r>
        <w:rPr>
          <w:rFonts w:hint="eastAsia" w:ascii="宋体" w:hAnsi="宋体" w:eastAsia="宋体" w:cs="宋体"/>
          <w:color w:val="333333"/>
          <w:kern w:val="0"/>
          <w:szCs w:val="21"/>
        </w:rPr>
        <w:t>和十八届三中、四中全会精神，深入贯彻落实习近平总书记系列重要讲话精神，主动适应经济发展新常态，积极培育国际竞争新优势，紧密围绕“政策沟通、设施联通、贸易畅通、资金融通、民心相通”的总体要求，不断深化与“一带一路”沿线国家标准化双多边合作和互联互通，大力推动中国标准“走出去”，加快提高标准国际化水平，全面服务“一带一路”建设。</w:t>
      </w:r>
    </w:p>
    <w:p>
      <w:pPr>
        <w:widowControl/>
        <w:shd w:val="clear" w:color="auto" w:fill="FFFFFF"/>
        <w:spacing w:line="378"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w:t>
      </w:r>
      <w:r>
        <w:rPr>
          <w:rFonts w:hint="eastAsia" w:ascii="宋体" w:hAnsi="宋体" w:eastAsia="宋体" w:cs="宋体"/>
          <w:b/>
          <w:bCs/>
          <w:color w:val="333333"/>
          <w:kern w:val="0"/>
        </w:rPr>
        <w:t>二、工作目标</w:t>
      </w:r>
    </w:p>
    <w:p>
      <w:pPr>
        <w:widowControl/>
        <w:shd w:val="clear" w:color="auto" w:fill="FFFFFF"/>
        <w:spacing w:before="180" w:after="180" w:line="378"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以“推动标准"走出去"、促进投资贸易便利化、深化国际合作、提升标准国际化水平、支撑互联互通建设”为目标，全面对接服务《愿景与行动》，力争尽快形成加快标准“走出去”，助推国际产能和装备制造合作，完善推动标准“走出去”的政策措施；深化与沿线重点国家标准化互利合作，加快推进标准互认；促进共同制定国际标准，提升标准国际化水平；组织翻译500项急需的国家标准、行业标准的外文版，支撑设施联通和贸易畅通；组织开展重点国别大宗贸易商品标准比对分析，提升标准信息服务水平；建设东盟农业标准化示范区，以点带面，积极推广国内农业标准和管理经验；开展专家交流和人才培训，支持标准化能力建设，不断提升沿线国家的标准化水平。</w:t>
      </w:r>
    </w:p>
    <w:p>
      <w:pPr>
        <w:widowControl/>
        <w:shd w:val="clear" w:color="auto" w:fill="FFFFFF"/>
        <w:spacing w:line="378"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w:t>
      </w:r>
      <w:r>
        <w:rPr>
          <w:rFonts w:hint="eastAsia" w:ascii="宋体" w:hAnsi="宋体" w:eastAsia="宋体" w:cs="宋体"/>
          <w:b/>
          <w:bCs/>
          <w:color w:val="333333"/>
          <w:kern w:val="0"/>
        </w:rPr>
        <w:t>三、工作原则</w:t>
      </w:r>
    </w:p>
    <w:p>
      <w:pPr>
        <w:widowControl/>
        <w:shd w:val="clear" w:color="auto" w:fill="FFFFFF"/>
        <w:spacing w:line="378"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w:t>
      </w:r>
      <w:r>
        <w:rPr>
          <w:rFonts w:hint="eastAsia" w:ascii="宋体" w:hAnsi="宋体" w:eastAsia="宋体" w:cs="宋体"/>
          <w:b/>
          <w:bCs/>
          <w:color w:val="333333"/>
          <w:kern w:val="0"/>
        </w:rPr>
        <w:t>（一）统筹规划，需求导向</w:t>
      </w:r>
    </w:p>
    <w:p>
      <w:pPr>
        <w:widowControl/>
        <w:shd w:val="clear" w:color="auto" w:fill="FFFFFF"/>
        <w:spacing w:before="180" w:after="180" w:line="378"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紧密围绕《愿景与行动》提出的任务要求，立足于建立和深化与沿线国家的标准化务实合作，更好地发挥政府宏观谋划、政策支持和指导服务作用，作好顶层设计。同时面向重要产业、重点企业，瞄准技术、产品和服务“走出去”过程中对标准化的迫切需求，确定标准联通“一带一路”的重点国别、优先领域和关键项目。</w:t>
      </w:r>
    </w:p>
    <w:p>
      <w:pPr>
        <w:widowControl/>
        <w:shd w:val="clear" w:color="auto" w:fill="FFFFFF"/>
        <w:spacing w:line="378"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w:t>
      </w:r>
      <w:r>
        <w:rPr>
          <w:rFonts w:hint="eastAsia" w:ascii="宋体" w:hAnsi="宋体" w:eastAsia="宋体" w:cs="宋体"/>
          <w:b/>
          <w:bCs/>
          <w:color w:val="333333"/>
          <w:kern w:val="0"/>
        </w:rPr>
        <w:t>（二）分工负责，协同推进</w:t>
      </w:r>
    </w:p>
    <w:p>
      <w:pPr>
        <w:widowControl/>
        <w:shd w:val="clear" w:color="auto" w:fill="FFFFFF"/>
        <w:spacing w:before="180" w:after="180" w:line="378"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充分发挥各级标准化主管部门作用，调动企业、相关标准化和专业研究机构、标准化技术委员会和区域标准化研究中心的积极性，加强全局规划和统筹管理，形成分工协作、步调一致、共同推进的工作格局。</w:t>
      </w:r>
    </w:p>
    <w:p>
      <w:pPr>
        <w:widowControl/>
        <w:shd w:val="clear" w:color="auto" w:fill="FFFFFF"/>
        <w:spacing w:line="378"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w:t>
      </w:r>
      <w:r>
        <w:rPr>
          <w:rFonts w:hint="eastAsia" w:ascii="宋体" w:hAnsi="宋体" w:eastAsia="宋体" w:cs="宋体"/>
          <w:b/>
          <w:bCs/>
          <w:color w:val="333333"/>
          <w:kern w:val="0"/>
        </w:rPr>
        <w:t>（三）突出重点，以点带面</w:t>
      </w:r>
    </w:p>
    <w:p>
      <w:pPr>
        <w:widowControl/>
        <w:shd w:val="clear" w:color="auto" w:fill="FFFFFF"/>
        <w:spacing w:before="180" w:after="180" w:line="378"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聚焦《愿景与行动》中明确的标准化工作和任务，把握重点方向，抓好重点项目，充分发挥在沿线国家重大建设项目和标准化示范区的引领带动效应，形成可复制推广的经验，逐步推进与沿线国家更加全面的合作。</w:t>
      </w:r>
    </w:p>
    <w:p>
      <w:pPr>
        <w:widowControl/>
        <w:shd w:val="clear" w:color="auto" w:fill="FFFFFF"/>
        <w:spacing w:line="378"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w:t>
      </w:r>
      <w:r>
        <w:rPr>
          <w:rFonts w:hint="eastAsia" w:ascii="宋体" w:hAnsi="宋体" w:eastAsia="宋体" w:cs="宋体"/>
          <w:b/>
          <w:bCs/>
          <w:color w:val="333333"/>
          <w:kern w:val="0"/>
        </w:rPr>
        <w:t>（四）内外联动，互利共羸</w:t>
      </w:r>
    </w:p>
    <w:p>
      <w:pPr>
        <w:widowControl/>
        <w:shd w:val="clear" w:color="auto" w:fill="FFFFFF"/>
        <w:spacing w:before="180" w:after="180" w:line="378"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秉承全方位开放精神，加强与“一带一路”沿线国家的协调沟通，综合考虑沿线国家发展战略、产业布局、合作诉求，寻求利益汇合点，在此基础上，探索与沿线国家建立标准化合作长效机制，广泛吸纳各方共同参与、共同建设、共同发展。</w:t>
      </w:r>
    </w:p>
    <w:p>
      <w:pPr>
        <w:widowControl/>
        <w:shd w:val="clear" w:color="auto" w:fill="FFFFFF"/>
        <w:spacing w:line="378"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w:t>
      </w:r>
      <w:r>
        <w:rPr>
          <w:rFonts w:hint="eastAsia" w:ascii="宋体" w:hAnsi="宋体" w:eastAsia="宋体" w:cs="宋体"/>
          <w:b/>
          <w:bCs/>
          <w:color w:val="333333"/>
          <w:kern w:val="0"/>
        </w:rPr>
        <w:t>四、重点任务</w:t>
      </w:r>
    </w:p>
    <w:p>
      <w:pPr>
        <w:widowControl/>
        <w:shd w:val="clear" w:color="auto" w:fill="FFFFFF"/>
        <w:spacing w:before="180" w:after="180" w:line="378"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一）制定完善中国标准“走出去”专项规划和政策措施。针对重点国家、优先领域、关键项目，提出标准“走出去”规划，在国际产能和装备制造合作重点领域，制定实施《加快中国标准“走出去”，助推国际产能和装备制造合作工作方案》。研究制定翻译出版国家标准外文版快速程序、中国标准海外授权使用版权政策等相关管理办法，完善推动标准“走出去”的政策环境。</w:t>
      </w:r>
    </w:p>
    <w:p>
      <w:pPr>
        <w:widowControl/>
        <w:shd w:val="clear" w:color="auto" w:fill="FFFFFF"/>
        <w:spacing w:line="378"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（二）深化与沿线重点国家的标准化互利合作。以经中亚、</w:t>
      </w:r>
      <w:r>
        <w:fldChar w:fldCharType="begin"/>
      </w:r>
      <w:r>
        <w:instrText xml:space="preserve"> HYPERLINK "http://news.hexun.com/russia/" \t "_blank" </w:instrText>
      </w:r>
      <w:r>
        <w:fldChar w:fldCharType="separate"/>
      </w:r>
      <w:r>
        <w:rPr>
          <w:rFonts w:hint="eastAsia" w:ascii="宋体" w:hAnsi="宋体" w:eastAsia="宋体" w:cs="宋体"/>
          <w:color w:val="485A90"/>
          <w:kern w:val="0"/>
          <w:u w:val="single"/>
        </w:rPr>
        <w:t>俄罗斯</w:t>
      </w:r>
      <w:r>
        <w:rPr>
          <w:rFonts w:hint="eastAsia" w:ascii="宋体" w:hAnsi="宋体" w:eastAsia="宋体" w:cs="宋体"/>
          <w:color w:val="485A90"/>
          <w:kern w:val="0"/>
          <w:u w:val="single"/>
        </w:rPr>
        <w:fldChar w:fldCharType="end"/>
      </w:r>
      <w:r>
        <w:rPr>
          <w:rFonts w:hint="eastAsia" w:ascii="宋体" w:hAnsi="宋体" w:eastAsia="宋体" w:cs="宋体"/>
          <w:color w:val="333333"/>
          <w:kern w:val="0"/>
          <w:szCs w:val="21"/>
        </w:rPr>
        <w:t>至欧洲，经中亚、西亚至波斯湾、地中海，以及东盟国家和南亚国家等为重点方向，以中蒙俄、中国-中亚-西亚等国际经济合作走廊为重点，寻求利益契合点，研究构建稳定通畅的标准化合作机制。</w:t>
      </w:r>
    </w:p>
    <w:p>
      <w:pPr>
        <w:widowControl/>
        <w:shd w:val="clear" w:color="auto" w:fill="FFFFFF"/>
        <w:spacing w:line="378"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着力推动与蒙古、俄</w:t>
      </w:r>
      <w:r>
        <w:fldChar w:fldCharType="begin"/>
      </w:r>
      <w:r>
        <w:instrText xml:space="preserve"> HYPERLINK "http://renwu.hexun.com/figure_3836.shtml" \t "_blank" </w:instrText>
      </w:r>
      <w:r>
        <w:fldChar w:fldCharType="separate"/>
      </w:r>
      <w:r>
        <w:rPr>
          <w:rFonts w:hint="eastAsia" w:ascii="宋体" w:hAnsi="宋体" w:eastAsia="宋体" w:cs="宋体"/>
          <w:color w:val="485A90"/>
          <w:kern w:val="0"/>
          <w:u w:val="single"/>
        </w:rPr>
        <w:t>罗斯</w:t>
      </w:r>
      <w:r>
        <w:rPr>
          <w:rFonts w:hint="eastAsia" w:ascii="宋体" w:hAnsi="宋体" w:eastAsia="宋体" w:cs="宋体"/>
          <w:color w:val="485A90"/>
          <w:kern w:val="0"/>
          <w:u w:val="single"/>
        </w:rPr>
        <w:fldChar w:fldCharType="end"/>
      </w:r>
      <w:r>
        <w:rPr>
          <w:rFonts w:hint="eastAsia" w:ascii="宋体" w:hAnsi="宋体" w:eastAsia="宋体" w:cs="宋体"/>
          <w:color w:val="333333"/>
          <w:kern w:val="0"/>
          <w:szCs w:val="21"/>
        </w:rPr>
        <w:t>、哈萨克斯坦、塔吉克斯坦、乌兹别克斯坦、</w:t>
      </w:r>
      <w:r>
        <w:fldChar w:fldCharType="begin"/>
      </w:r>
      <w:r>
        <w:instrText xml:space="preserve"> HYPERLINK "http://news.hexun.com/vietnam/index.html" \t "_blank" </w:instrText>
      </w:r>
      <w:r>
        <w:fldChar w:fldCharType="separate"/>
      </w:r>
      <w:r>
        <w:rPr>
          <w:rFonts w:hint="eastAsia" w:ascii="宋体" w:hAnsi="宋体" w:eastAsia="宋体" w:cs="宋体"/>
          <w:color w:val="485A90"/>
          <w:kern w:val="0"/>
          <w:u w:val="single"/>
        </w:rPr>
        <w:t>越南</w:t>
      </w:r>
      <w:r>
        <w:rPr>
          <w:rFonts w:hint="eastAsia" w:ascii="宋体" w:hAnsi="宋体" w:eastAsia="宋体" w:cs="宋体"/>
          <w:color w:val="485A90"/>
          <w:kern w:val="0"/>
          <w:u w:val="single"/>
        </w:rPr>
        <w:fldChar w:fldCharType="end"/>
      </w:r>
      <w:r>
        <w:rPr>
          <w:rFonts w:hint="eastAsia" w:ascii="宋体" w:hAnsi="宋体" w:eastAsia="宋体" w:cs="宋体"/>
          <w:color w:val="333333"/>
          <w:kern w:val="0"/>
          <w:szCs w:val="21"/>
        </w:rPr>
        <w:t>、</w:t>
      </w:r>
      <w:r>
        <w:fldChar w:fldCharType="begin"/>
      </w:r>
      <w:r>
        <w:instrText xml:space="preserve"> HYPERLINK "http://news.hexun.com/2013/cambodia/index.html" \t "_blank" </w:instrText>
      </w:r>
      <w:r>
        <w:fldChar w:fldCharType="separate"/>
      </w:r>
      <w:r>
        <w:rPr>
          <w:rFonts w:hint="eastAsia" w:ascii="宋体" w:hAnsi="宋体" w:eastAsia="宋体" w:cs="宋体"/>
          <w:color w:val="485A90"/>
          <w:kern w:val="0"/>
          <w:u w:val="single"/>
        </w:rPr>
        <w:t>柬埔寨</w:t>
      </w:r>
      <w:r>
        <w:rPr>
          <w:rFonts w:hint="eastAsia" w:ascii="宋体" w:hAnsi="宋体" w:eastAsia="宋体" w:cs="宋体"/>
          <w:color w:val="485A90"/>
          <w:kern w:val="0"/>
          <w:u w:val="single"/>
        </w:rPr>
        <w:fldChar w:fldCharType="end"/>
      </w:r>
      <w:r>
        <w:rPr>
          <w:rFonts w:hint="eastAsia" w:ascii="宋体" w:hAnsi="宋体" w:eastAsia="宋体" w:cs="宋体"/>
          <w:color w:val="333333"/>
          <w:kern w:val="0"/>
          <w:szCs w:val="21"/>
        </w:rPr>
        <w:t>、</w:t>
      </w:r>
      <w:r>
        <w:fldChar w:fldCharType="begin"/>
      </w:r>
      <w:r>
        <w:instrText xml:space="preserve"> HYPERLINK "http://news.hexun.com/thailand/index.html" \t "_blank" </w:instrText>
      </w:r>
      <w:r>
        <w:fldChar w:fldCharType="separate"/>
      </w:r>
      <w:r>
        <w:rPr>
          <w:rFonts w:hint="eastAsia" w:ascii="宋体" w:hAnsi="宋体" w:eastAsia="宋体" w:cs="宋体"/>
          <w:color w:val="485A90"/>
          <w:kern w:val="0"/>
          <w:u w:val="single"/>
        </w:rPr>
        <w:t>泰国</w:t>
      </w:r>
      <w:r>
        <w:rPr>
          <w:rFonts w:hint="eastAsia" w:ascii="宋体" w:hAnsi="宋体" w:eastAsia="宋体" w:cs="宋体"/>
          <w:color w:val="485A90"/>
          <w:kern w:val="0"/>
          <w:u w:val="single"/>
        </w:rPr>
        <w:fldChar w:fldCharType="end"/>
      </w:r>
      <w:r>
        <w:rPr>
          <w:rFonts w:hint="eastAsia" w:ascii="宋体" w:hAnsi="宋体" w:eastAsia="宋体" w:cs="宋体"/>
          <w:color w:val="333333"/>
          <w:kern w:val="0"/>
          <w:szCs w:val="21"/>
        </w:rPr>
        <w:t>、</w:t>
      </w:r>
      <w:r>
        <w:fldChar w:fldCharType="begin"/>
      </w:r>
      <w:r>
        <w:instrText xml:space="preserve"> HYPERLINK "http://news.hexun.com/2013/malaysia/index.html" \t "_blank" </w:instrText>
      </w:r>
      <w:r>
        <w:fldChar w:fldCharType="separate"/>
      </w:r>
      <w:r>
        <w:rPr>
          <w:rFonts w:hint="eastAsia" w:ascii="宋体" w:hAnsi="宋体" w:eastAsia="宋体" w:cs="宋体"/>
          <w:color w:val="485A90"/>
          <w:kern w:val="0"/>
          <w:u w:val="single"/>
        </w:rPr>
        <w:t>马来西亚</w:t>
      </w:r>
      <w:r>
        <w:rPr>
          <w:rFonts w:hint="eastAsia" w:ascii="宋体" w:hAnsi="宋体" w:eastAsia="宋体" w:cs="宋体"/>
          <w:color w:val="485A90"/>
          <w:kern w:val="0"/>
          <w:u w:val="single"/>
        </w:rPr>
        <w:fldChar w:fldCharType="end"/>
      </w:r>
      <w:r>
        <w:rPr>
          <w:rFonts w:hint="eastAsia" w:ascii="宋体" w:hAnsi="宋体" w:eastAsia="宋体" w:cs="宋体"/>
          <w:color w:val="333333"/>
          <w:kern w:val="0"/>
          <w:szCs w:val="21"/>
        </w:rPr>
        <w:t>、</w:t>
      </w:r>
      <w:r>
        <w:fldChar w:fldCharType="begin"/>
      </w:r>
      <w:r>
        <w:instrText xml:space="preserve"> HYPERLINK "http://news.hexun.com/2013/singapore1/index.html" \t "_blank" </w:instrText>
      </w:r>
      <w:r>
        <w:fldChar w:fldCharType="separate"/>
      </w:r>
      <w:r>
        <w:rPr>
          <w:rFonts w:hint="eastAsia" w:ascii="宋体" w:hAnsi="宋体" w:eastAsia="宋体" w:cs="宋体"/>
          <w:color w:val="485A90"/>
          <w:kern w:val="0"/>
          <w:u w:val="single"/>
        </w:rPr>
        <w:t>新加坡</w:t>
      </w:r>
      <w:r>
        <w:rPr>
          <w:rFonts w:hint="eastAsia" w:ascii="宋体" w:hAnsi="宋体" w:eastAsia="宋体" w:cs="宋体"/>
          <w:color w:val="485A90"/>
          <w:kern w:val="0"/>
          <w:u w:val="single"/>
        </w:rPr>
        <w:fldChar w:fldCharType="end"/>
      </w:r>
      <w:r>
        <w:rPr>
          <w:rFonts w:hint="eastAsia" w:ascii="宋体" w:hAnsi="宋体" w:eastAsia="宋体" w:cs="宋体"/>
          <w:color w:val="333333"/>
          <w:kern w:val="0"/>
          <w:szCs w:val="21"/>
        </w:rPr>
        <w:t>、印尼、</w:t>
      </w:r>
      <w:r>
        <w:fldChar w:fldCharType="begin"/>
      </w:r>
      <w:r>
        <w:instrText xml:space="preserve"> HYPERLINK "http://news.hexun.com/india/index.html" \t "_blank" </w:instrText>
      </w:r>
      <w:r>
        <w:fldChar w:fldCharType="separate"/>
      </w:r>
      <w:r>
        <w:rPr>
          <w:rFonts w:hint="eastAsia" w:ascii="宋体" w:hAnsi="宋体" w:eastAsia="宋体" w:cs="宋体"/>
          <w:color w:val="485A90"/>
          <w:kern w:val="0"/>
          <w:u w:val="single"/>
        </w:rPr>
        <w:t>印度</w:t>
      </w:r>
      <w:r>
        <w:rPr>
          <w:rFonts w:hint="eastAsia" w:ascii="宋体" w:hAnsi="宋体" w:eastAsia="宋体" w:cs="宋体"/>
          <w:color w:val="485A90"/>
          <w:kern w:val="0"/>
          <w:u w:val="single"/>
        </w:rPr>
        <w:fldChar w:fldCharType="end"/>
      </w:r>
      <w:r>
        <w:rPr>
          <w:rFonts w:hint="eastAsia" w:ascii="宋体" w:hAnsi="宋体" w:eastAsia="宋体" w:cs="宋体"/>
          <w:color w:val="333333"/>
          <w:kern w:val="0"/>
          <w:szCs w:val="21"/>
        </w:rPr>
        <w:t>、亚美尼亚、海合会标准化组织及</w:t>
      </w:r>
      <w:r>
        <w:fldChar w:fldCharType="begin"/>
      </w:r>
      <w:r>
        <w:instrText xml:space="preserve"> HYPERLINK "http://news.hexun.com/saudi/index.html" \t "_blank" </w:instrText>
      </w:r>
      <w:r>
        <w:fldChar w:fldCharType="separate"/>
      </w:r>
      <w:r>
        <w:rPr>
          <w:rFonts w:hint="eastAsia" w:ascii="宋体" w:hAnsi="宋体" w:eastAsia="宋体" w:cs="宋体"/>
          <w:color w:val="485A90"/>
          <w:kern w:val="0"/>
          <w:u w:val="single"/>
        </w:rPr>
        <w:t>沙特</w:t>
      </w:r>
      <w:r>
        <w:rPr>
          <w:rFonts w:hint="eastAsia" w:ascii="宋体" w:hAnsi="宋体" w:eastAsia="宋体" w:cs="宋体"/>
          <w:color w:val="485A90"/>
          <w:kern w:val="0"/>
          <w:u w:val="single"/>
        </w:rPr>
        <w:fldChar w:fldCharType="end"/>
      </w:r>
      <w:r>
        <w:rPr>
          <w:rFonts w:hint="eastAsia" w:ascii="宋体" w:hAnsi="宋体" w:eastAsia="宋体" w:cs="宋体"/>
          <w:color w:val="333333"/>
          <w:kern w:val="0"/>
          <w:szCs w:val="21"/>
        </w:rPr>
        <w:t>等主要海合会国家、</w:t>
      </w:r>
      <w:r>
        <w:fldChar w:fldCharType="begin"/>
      </w:r>
      <w:r>
        <w:instrText xml:space="preserve"> HYPERLINK "http://news.hexun.com/egypt/index.html" \t "_blank" </w:instrText>
      </w:r>
      <w:r>
        <w:fldChar w:fldCharType="separate"/>
      </w:r>
      <w:r>
        <w:rPr>
          <w:rFonts w:hint="eastAsia" w:ascii="宋体" w:hAnsi="宋体" w:eastAsia="宋体" w:cs="宋体"/>
          <w:color w:val="485A90"/>
          <w:kern w:val="0"/>
          <w:u w:val="single"/>
        </w:rPr>
        <w:t>埃及</w:t>
      </w:r>
      <w:r>
        <w:rPr>
          <w:rFonts w:hint="eastAsia" w:ascii="宋体" w:hAnsi="宋体" w:eastAsia="宋体" w:cs="宋体"/>
          <w:color w:val="485A90"/>
          <w:kern w:val="0"/>
          <w:u w:val="single"/>
        </w:rPr>
        <w:fldChar w:fldCharType="end"/>
      </w:r>
      <w:r>
        <w:rPr>
          <w:rFonts w:hint="eastAsia" w:ascii="宋体" w:hAnsi="宋体" w:eastAsia="宋体" w:cs="宋体"/>
          <w:color w:val="333333"/>
          <w:kern w:val="0"/>
          <w:szCs w:val="21"/>
        </w:rPr>
        <w:t>和苏丹等重点国家标准化机构签署标准化合作协议，积极推动与阿塞拜疆探讨解决标准化合作问题。探索形成沿线国家认可的标准互认程序与工作机制，加快推进标准互认工作。</w:t>
      </w:r>
    </w:p>
    <w:p>
      <w:pPr>
        <w:widowControl/>
        <w:shd w:val="clear" w:color="auto" w:fill="FFFFFF"/>
        <w:spacing w:before="180" w:after="180" w:line="378" w:lineRule="atLeast"/>
        <w:jc w:val="left"/>
        <w:rPr>
          <w:rFonts w:hint="eastAsia" w:ascii="宋体" w:hAnsi="宋体" w:eastAsia="宋体" w:cs="宋体"/>
          <w:color w:val="0000FF"/>
          <w:kern w:val="0"/>
          <w:szCs w:val="21"/>
        </w:rPr>
      </w:pPr>
      <w:r>
        <w:rPr>
          <w:rFonts w:hint="eastAsia" w:ascii="宋体" w:hAnsi="宋体" w:eastAsia="宋体" w:cs="宋体"/>
          <w:color w:val="333333"/>
          <w:kern w:val="0"/>
          <w:szCs w:val="21"/>
        </w:rPr>
        <w:t>　</w:t>
      </w:r>
      <w:r>
        <w:rPr>
          <w:rFonts w:hint="eastAsia" w:ascii="宋体" w:hAnsi="宋体" w:eastAsia="宋体" w:cs="宋体"/>
          <w:color w:val="0000FF"/>
          <w:kern w:val="0"/>
          <w:szCs w:val="21"/>
        </w:rPr>
        <w:t>　聚焦沿线重点国家产业需求，充分发挥各行业、地方、企业、学协会和产业技术联盟作用，建立标准化合作工作组，深化关键项目的标准化务实合作。在钢铁、有色、铁路、公路、水运工程、石油天然气等领域，配合我国海外工程服务推广中国标准。</w:t>
      </w:r>
    </w:p>
    <w:p>
      <w:pPr>
        <w:widowControl/>
        <w:shd w:val="clear" w:color="auto" w:fill="FFFFFF"/>
        <w:spacing w:line="378"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三）推动共同制定国际标准。认真履行我国担任国际标准化组织常任理事国和技术机构负责人的职责。鼓励各行业实质性参与相关专业性国际、区域组织的标准化活动。发挥骨干企业积极性，在电力、铁路、海洋、航空航天等基础设施领域，节能环保、新一代</w:t>
      </w:r>
      <w:r>
        <w:fldChar w:fldCharType="begin"/>
      </w:r>
      <w:r>
        <w:instrText xml:space="preserve"> HYPERLINK "http://jingzhi.funds.hexun.com/159939.shtml" \t "_blank" </w:instrText>
      </w:r>
      <w:r>
        <w:fldChar w:fldCharType="separate"/>
      </w:r>
      <w:r>
        <w:rPr>
          <w:rFonts w:hint="eastAsia" w:ascii="宋体" w:hAnsi="宋体" w:eastAsia="宋体" w:cs="宋体"/>
          <w:color w:val="485A90"/>
          <w:kern w:val="0"/>
          <w:u w:val="single"/>
        </w:rPr>
        <w:t>信息技术</w:t>
      </w:r>
      <w:r>
        <w:rPr>
          <w:rFonts w:hint="eastAsia" w:ascii="宋体" w:hAnsi="宋体" w:eastAsia="宋体" w:cs="宋体"/>
          <w:color w:val="485A90"/>
          <w:kern w:val="0"/>
          <w:u w:val="single"/>
        </w:rPr>
        <w:fldChar w:fldCharType="end"/>
      </w:r>
      <w:r>
        <w:rPr>
          <w:rFonts w:hint="eastAsia" w:ascii="宋体" w:hAnsi="宋体" w:eastAsia="宋体" w:cs="宋体"/>
          <w:color w:val="333333"/>
          <w:kern w:val="0"/>
          <w:szCs w:val="21"/>
        </w:rPr>
        <w:t>、智能交通、高端装备制造、生物、</w:t>
      </w:r>
      <w:r>
        <w:fldChar w:fldCharType="begin"/>
      </w:r>
      <w:r>
        <w:instrText xml:space="preserve"> HYPERLINK "http://jingzhi.funds.hexun.com/160640.shtml" \t "_blank" </w:instrText>
      </w:r>
      <w:r>
        <w:fldChar w:fldCharType="separate"/>
      </w:r>
      <w:r>
        <w:rPr>
          <w:rFonts w:hint="eastAsia" w:ascii="宋体" w:hAnsi="宋体" w:eastAsia="宋体" w:cs="宋体"/>
          <w:color w:val="485A90"/>
          <w:kern w:val="0"/>
          <w:u w:val="single"/>
        </w:rPr>
        <w:t>新能源</w:t>
      </w:r>
      <w:r>
        <w:rPr>
          <w:rFonts w:hint="eastAsia" w:ascii="宋体" w:hAnsi="宋体" w:eastAsia="宋体" w:cs="宋体"/>
          <w:color w:val="485A90"/>
          <w:kern w:val="0"/>
          <w:u w:val="single"/>
        </w:rPr>
        <w:fldChar w:fldCharType="end"/>
      </w:r>
      <w:r>
        <w:rPr>
          <w:rFonts w:hint="eastAsia" w:ascii="宋体" w:hAnsi="宋体" w:eastAsia="宋体" w:cs="宋体"/>
          <w:color w:val="333333"/>
          <w:kern w:val="0"/>
          <w:szCs w:val="21"/>
        </w:rPr>
        <w:t>、新材料等</w:t>
      </w:r>
      <w:r>
        <w:fldChar w:fldCharType="begin"/>
      </w:r>
      <w:r>
        <w:instrText xml:space="preserve"> HYPERLINK "http://jingzhi.funds.hexun.com/240017.shtml" \t "_blank" </w:instrText>
      </w:r>
      <w:r>
        <w:fldChar w:fldCharType="separate"/>
      </w:r>
      <w:r>
        <w:rPr>
          <w:rFonts w:hint="eastAsia" w:ascii="宋体" w:hAnsi="宋体" w:eastAsia="宋体" w:cs="宋体"/>
          <w:color w:val="485A90"/>
          <w:kern w:val="0"/>
          <w:u w:val="single"/>
        </w:rPr>
        <w:t>新兴产业</w:t>
      </w:r>
      <w:r>
        <w:rPr>
          <w:rFonts w:hint="eastAsia" w:ascii="宋体" w:hAnsi="宋体" w:eastAsia="宋体" w:cs="宋体"/>
          <w:color w:val="485A90"/>
          <w:kern w:val="0"/>
          <w:u w:val="single"/>
        </w:rPr>
        <w:fldChar w:fldCharType="end"/>
      </w:r>
      <w:r>
        <w:rPr>
          <w:rFonts w:hint="eastAsia" w:ascii="宋体" w:hAnsi="宋体" w:eastAsia="宋体" w:cs="宋体"/>
          <w:color w:val="333333"/>
          <w:kern w:val="0"/>
          <w:szCs w:val="21"/>
        </w:rPr>
        <w:t>领域，以及中医药、烟花爆竹、茶叶、纺织、制鞋等传统优势领域，依托我国具有优势的技术标准，主动联系沿线重点国家开展国际标准研究，共同制定国际标准，提升标准国际化水平。在对双方产业均有重要影响的领域，联合推动国际标准化组织成立新技术机构。</w:t>
      </w:r>
    </w:p>
    <w:p>
      <w:pPr>
        <w:widowControl/>
        <w:shd w:val="clear" w:color="auto" w:fill="FFFFFF"/>
        <w:spacing w:before="180" w:after="180" w:line="378"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四）组织翻译优先领域急需标准外文版。围绕装备、产能、动植物检疫等“走出去”优先领域，发挥国内专业标准化技术委员会的平台作用，开展面向“一带一路”沿线国家标准“走出去”需求调研，梳理形成优先领域标准外文版目录，分步下达国家标准外文版制定计划。优先组织开展服务设施联通、贸易畅通等急需的铁路、公路、水运工程、电力、海洋、冶金、建材、工程机械、航空航天、中医药等领域500项国家、行业标准外文版翻译及出版工作。</w:t>
      </w:r>
    </w:p>
    <w:p>
      <w:pPr>
        <w:widowControl/>
        <w:shd w:val="clear" w:color="auto" w:fill="FFFFFF"/>
        <w:spacing w:line="378"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五）开展大宗进出口商品标准比对分析。开展我国与东盟、中亚、西亚、东南亚四个区域重点国家的进出口商品贸易情况和相关国家标准分析，梳理分析沿线重点国家大宗进出口商品类别，发挥行业、地方优势，依托相关标准化技术委员会、区域标准化研究中心，研究沿线重点国家技术法规和标准，开展优先领域</w:t>
      </w:r>
      <w:r>
        <w:fldChar w:fldCharType="begin"/>
      </w:r>
      <w:r>
        <w:instrText xml:space="preserve"> HYPERLINK "http://jingzhi.funds.hexun.com/161715.shtml" \t "_blank" </w:instrText>
      </w:r>
      <w:r>
        <w:fldChar w:fldCharType="separate"/>
      </w:r>
      <w:r>
        <w:rPr>
          <w:rFonts w:hint="eastAsia" w:ascii="宋体" w:hAnsi="宋体" w:eastAsia="宋体" w:cs="宋体"/>
          <w:color w:val="485A90"/>
          <w:kern w:val="0"/>
          <w:u w:val="single"/>
        </w:rPr>
        <w:t>大宗商品</w:t>
      </w:r>
      <w:r>
        <w:rPr>
          <w:rFonts w:hint="eastAsia" w:ascii="宋体" w:hAnsi="宋体" w:eastAsia="宋体" w:cs="宋体"/>
          <w:color w:val="485A90"/>
          <w:kern w:val="0"/>
          <w:u w:val="single"/>
        </w:rPr>
        <w:fldChar w:fldCharType="end"/>
      </w:r>
      <w:r>
        <w:rPr>
          <w:rFonts w:hint="eastAsia" w:ascii="宋体" w:hAnsi="宋体" w:eastAsia="宋体" w:cs="宋体"/>
          <w:color w:val="333333"/>
          <w:kern w:val="0"/>
          <w:szCs w:val="21"/>
        </w:rPr>
        <w:t>标准比对分析，形成优先领域大宗进出口商品标准比对分析研究报告，为 “一带一路”建设提供标准信息服务。</w:t>
      </w:r>
    </w:p>
    <w:p>
      <w:pPr>
        <w:widowControl/>
        <w:shd w:val="clear" w:color="auto" w:fill="FFFFFF"/>
        <w:spacing w:line="378"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（六）开展东盟农业标准化示范区建设。依托与东盟国家气候、环境、人文相似的地方省市，有效利用中国-东盟</w:t>
      </w:r>
      <w:r>
        <w:fldChar w:fldCharType="begin"/>
      </w:r>
      <w:r>
        <w:instrText xml:space="preserve"> HYPERLINK "http://news.hexun.com/2013/zmq/" \t "_blank" </w:instrText>
      </w:r>
      <w:r>
        <w:fldChar w:fldCharType="separate"/>
      </w:r>
      <w:r>
        <w:rPr>
          <w:rFonts w:hint="eastAsia" w:ascii="宋体" w:hAnsi="宋体" w:eastAsia="宋体" w:cs="宋体"/>
          <w:color w:val="485A90"/>
          <w:kern w:val="0"/>
          <w:u w:val="single"/>
        </w:rPr>
        <w:t>自贸区</w:t>
      </w:r>
      <w:r>
        <w:rPr>
          <w:rFonts w:hint="eastAsia" w:ascii="宋体" w:hAnsi="宋体" w:eastAsia="宋体" w:cs="宋体"/>
          <w:color w:val="485A90"/>
          <w:kern w:val="0"/>
          <w:u w:val="single"/>
        </w:rPr>
        <w:fldChar w:fldCharType="end"/>
      </w:r>
      <w:r>
        <w:rPr>
          <w:rFonts w:hint="eastAsia" w:ascii="宋体" w:hAnsi="宋体" w:eastAsia="宋体" w:cs="宋体"/>
          <w:color w:val="333333"/>
          <w:kern w:val="0"/>
          <w:szCs w:val="21"/>
        </w:rPr>
        <w:t>建设成果，积极推广我国农业标准化生产和管理经验。在水稻、甘蔗、茶叶、果蔬等特色</w:t>
      </w:r>
      <w:r>
        <w:fldChar w:fldCharType="begin"/>
      </w:r>
      <w:r>
        <w:instrText xml:space="preserve"> HYPERLINK "http://stockdata.stock.hexun.com/000061.shtml" \t "_blank" </w:instrText>
      </w:r>
      <w:r>
        <w:fldChar w:fldCharType="separate"/>
      </w:r>
      <w:r>
        <w:rPr>
          <w:rFonts w:hint="eastAsia" w:ascii="宋体" w:hAnsi="宋体" w:eastAsia="宋体" w:cs="宋体"/>
          <w:color w:val="485A90"/>
          <w:kern w:val="0"/>
          <w:u w:val="single"/>
        </w:rPr>
        <w:t>农产品</w:t>
      </w:r>
      <w:r>
        <w:rPr>
          <w:rFonts w:hint="eastAsia" w:ascii="宋体" w:hAnsi="宋体" w:eastAsia="宋体" w:cs="宋体"/>
          <w:color w:val="485A90"/>
          <w:kern w:val="0"/>
          <w:u w:val="single"/>
        </w:rPr>
        <w:fldChar w:fldCharType="end"/>
      </w:r>
      <w:r>
        <w:rPr>
          <w:rFonts w:hint="eastAsia" w:ascii="宋体" w:hAnsi="宋体" w:eastAsia="宋体" w:cs="宋体"/>
          <w:color w:val="333333"/>
          <w:kern w:val="0"/>
          <w:szCs w:val="21"/>
        </w:rPr>
        <w:t>(</w:t>
      </w:r>
      <w:r>
        <w:fldChar w:fldCharType="begin"/>
      </w:r>
      <w:r>
        <w:instrText xml:space="preserve"> HYPERLINK "http://stockdata.stock.hexun.com/000061.shtml" \t "_blank" </w:instrText>
      </w:r>
      <w:r>
        <w:fldChar w:fldCharType="separate"/>
      </w:r>
      <w:r>
        <w:rPr>
          <w:rFonts w:hint="eastAsia" w:ascii="宋体" w:hAnsi="宋体" w:eastAsia="宋体" w:cs="宋体"/>
          <w:color w:val="485A90"/>
          <w:kern w:val="0"/>
          <w:u w:val="single"/>
        </w:rPr>
        <w:t>000061</w:t>
      </w:r>
      <w:r>
        <w:rPr>
          <w:rFonts w:hint="eastAsia" w:ascii="宋体" w:hAnsi="宋体" w:eastAsia="宋体" w:cs="宋体"/>
          <w:color w:val="485A90"/>
          <w:kern w:val="0"/>
          <w:u w:val="single"/>
        </w:rPr>
        <w:fldChar w:fldCharType="end"/>
      </w:r>
      <w:r>
        <w:rPr>
          <w:rFonts w:hint="eastAsia" w:ascii="宋体" w:hAnsi="宋体" w:eastAsia="宋体" w:cs="宋体"/>
          <w:color w:val="333333"/>
          <w:kern w:val="0"/>
          <w:szCs w:val="21"/>
        </w:rPr>
        <w:t>,</w:t>
      </w:r>
      <w:r>
        <w:fldChar w:fldCharType="begin"/>
      </w:r>
      <w:r>
        <w:instrText xml:space="preserve"> HYPERLINK "http://guba.hexun.com/000061,guba.html" \t "_blank" </w:instrText>
      </w:r>
      <w:r>
        <w:fldChar w:fldCharType="separate"/>
      </w:r>
      <w:r>
        <w:rPr>
          <w:rFonts w:hint="eastAsia" w:ascii="宋体" w:hAnsi="宋体" w:eastAsia="宋体" w:cs="宋体"/>
          <w:color w:val="485A90"/>
          <w:kern w:val="0"/>
          <w:u w:val="single"/>
        </w:rPr>
        <w:t>股吧</w:t>
      </w:r>
      <w:r>
        <w:rPr>
          <w:rFonts w:hint="eastAsia" w:ascii="宋体" w:hAnsi="宋体" w:eastAsia="宋体" w:cs="宋体"/>
          <w:color w:val="485A90"/>
          <w:kern w:val="0"/>
          <w:u w:val="single"/>
        </w:rPr>
        <w:fldChar w:fldCharType="end"/>
      </w:r>
      <w:r>
        <w:rPr>
          <w:rFonts w:hint="eastAsia" w:ascii="宋体" w:hAnsi="宋体" w:eastAsia="宋体" w:cs="宋体"/>
          <w:color w:val="333333"/>
          <w:kern w:val="0"/>
          <w:szCs w:val="21"/>
        </w:rPr>
        <w:t>)领域，宣传推介我国现行有效的农作物种子化肥等农业投入品、良好种植操作规范、产品质量分等分级、农产品流通等产前产中产后的相关标准，以及我国农业标准化示范区管理制度，开展本地化研究与示范推广，以点带线、以线带面，有效提高当地标准化种植技术水平。</w:t>
      </w:r>
    </w:p>
    <w:p>
      <w:pPr>
        <w:widowControl/>
        <w:shd w:val="clear" w:color="auto" w:fill="FFFFFF"/>
        <w:spacing w:before="180" w:after="180" w:line="378"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七）加强沿线国家标准化专家交流及能力建设。充分利用我国科技、商务等合作项目，加强与“一带一路”沿线国家有关部门的协调，面向沿线国家标准化发展和交流需求，采取多种方式，分批开展面向亚洲和非洲的标准化专家交流及人才培训项目，有针对性地举办综合知识类、专业领域类标准化援外培训班。派遣相关专业领域的高级别顾问和专家，支持沿线国家标准化能力建设，提升我国标准海外影响。加强 “一带一路”标准化人才队伍建设，制定实施国际标准化人才培训规划，邀请一批国际标准化专家来我国讲学交流，培育一批标准化管理和专业人才，为开展沿线国家标准化合作交流提供人才保障。</w:t>
      </w:r>
    </w:p>
    <w:p>
      <w:pPr>
        <w:widowControl/>
        <w:shd w:val="clear" w:color="auto" w:fill="FFFFFF"/>
        <w:spacing w:before="180" w:after="180" w:line="378"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八）实施标准化互联互通重点项目。在电力电子设备、防爆设备、家用电器、数字电视广播、半导体照明、中医药、海洋技术、TD-LTE信息通信等领域，支持一批由相关行业协会、产业联盟、科研机构、高等院校和企业等牵头组织，面向东盟、俄罗斯、中亚、中东欧等重点国家和区域开展的标准化互联互通项目，夯实标准化合作基础。研究建立“一带一路”标准化合作关键项目沟通机制，加强项目储备，为产业合作和互联互通提供标准化支撑。</w:t>
      </w:r>
    </w:p>
    <w:p>
      <w:pPr>
        <w:widowControl/>
        <w:shd w:val="clear" w:color="auto" w:fill="FFFFFF"/>
        <w:spacing w:line="378"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九）加强沿线重点国家和区域标准化研究。切实发挥地方的区位优势、技术优势和人才优势，推动建立沿线重点国家和区域标准化研究中心。积极组织开展面向阿拉伯国家、中亚、蒙俄、东盟、欧洲、北美等重点国家和区域的标准化</w:t>
      </w:r>
      <w:r>
        <w:fldChar w:fldCharType="begin"/>
      </w:r>
      <w:r>
        <w:instrText xml:space="preserve"> HYPERLINK "http://law.hexun.com/" \t "_blank" </w:instrText>
      </w:r>
      <w:r>
        <w:fldChar w:fldCharType="separate"/>
      </w:r>
      <w:r>
        <w:rPr>
          <w:rFonts w:hint="eastAsia" w:ascii="宋体" w:hAnsi="宋体" w:eastAsia="宋体" w:cs="宋体"/>
          <w:color w:val="485A90"/>
          <w:kern w:val="0"/>
          <w:u w:val="single"/>
        </w:rPr>
        <w:t>法律</w:t>
      </w:r>
      <w:r>
        <w:rPr>
          <w:rFonts w:hint="eastAsia" w:ascii="宋体" w:hAnsi="宋体" w:eastAsia="宋体" w:cs="宋体"/>
          <w:color w:val="485A90"/>
          <w:kern w:val="0"/>
          <w:u w:val="single"/>
        </w:rPr>
        <w:fldChar w:fldCharType="end"/>
      </w:r>
      <w:r>
        <w:rPr>
          <w:rFonts w:hint="eastAsia" w:ascii="宋体" w:hAnsi="宋体" w:eastAsia="宋体" w:cs="宋体"/>
          <w:color w:val="333333"/>
          <w:kern w:val="0"/>
          <w:szCs w:val="21"/>
        </w:rPr>
        <w:t>法规、标准化体系、发展战略及重点领域相关标准研究，初步建立“标准化智库”体系并发挥好作用，推动形成早期成效。</w:t>
      </w:r>
    </w:p>
    <w:p>
      <w:pPr>
        <w:widowControl/>
        <w:shd w:val="clear" w:color="auto" w:fill="FFFFFF"/>
        <w:spacing w:before="180" w:after="180" w:line="378"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十）支持各地开展特色标准化合作。充分发挥各地区地缘优势、文化优势、语言优势和特色产业优势，研究制定本地区推进“一带一路”建设标准化实施方案，挖掘一批具备标准化工作基础的优势领域、优势技术和特色产品，提炼一批重点工作任务和标志性合作项目，开展中国城市与国外相关城市间的标准化合作试点。</w:t>
      </w:r>
    </w:p>
    <w:p>
      <w:pPr>
        <w:widowControl/>
        <w:shd w:val="clear" w:color="auto" w:fill="FFFFFF"/>
        <w:spacing w:line="378"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w:t>
      </w:r>
      <w:r>
        <w:rPr>
          <w:rFonts w:hint="eastAsia" w:ascii="宋体" w:hAnsi="宋体" w:eastAsia="宋体" w:cs="宋体"/>
          <w:b/>
          <w:bCs/>
          <w:color w:val="333333"/>
          <w:kern w:val="0"/>
        </w:rPr>
        <w:t>五、保障措施</w:t>
      </w:r>
    </w:p>
    <w:p>
      <w:pPr>
        <w:widowControl/>
        <w:shd w:val="clear" w:color="auto" w:fill="FFFFFF"/>
        <w:spacing w:before="180" w:after="180" w:line="378"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一）组建标准联通“一带一路”专项领导小组。设立标准联通“一带一路”专项领导小组，统筹协调对内对外两方面工作，督促落实行动计划各项工作任务，指导各有关方面开展工作。领导小组以国家发展改革委分管领导和国家标准委主要领导为联合组长、相关部门有关司局主要负责人作为专项领导小组成员，办公室设在国家标准委。</w:t>
      </w:r>
    </w:p>
    <w:p>
      <w:pPr>
        <w:widowControl/>
        <w:shd w:val="clear" w:color="auto" w:fill="FFFFFF"/>
        <w:spacing w:before="180" w:after="180" w:line="378"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（二）加强经费保障。在充分利用现有资金渠道，盘活存量资金的基础上，加大对初见成效的标准化项目的资金投入，并探索建立市场化、多元化的经费投入机制，做好行动计划有关项目的经费保障工作。</w:t>
      </w:r>
    </w:p>
    <w:p>
      <w:pPr>
        <w:widowControl/>
        <w:shd w:val="clear" w:color="auto" w:fill="FFFFFF"/>
        <w:spacing w:before="180" w:after="180" w:line="378"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三）强化工作落实与监督检查。按照行动计划的职责分工，各部门要进一步梳理落实重点任务和优先推进项目，制定实施计划和时间表，推动形成“一带一路”早期收获。加强对行动计划的督促检查，及时解决存在的问题。加强对行动计划实施情况的跟踪评估，及时提出调整计划、完善政策的意见和建议。</w:t>
      </w:r>
    </w:p>
    <w:p>
      <w:pPr>
        <w:widowControl/>
        <w:shd w:val="clear" w:color="auto" w:fill="FFFFFF"/>
        <w:spacing w:before="180" w:after="180" w:line="378" w:lineRule="atLeast"/>
        <w:jc w:val="left"/>
        <w:rPr>
          <w:rFonts w:hint="eastAsia" w:ascii="宋体" w:hAnsi="宋体" w:eastAsia="宋体" w:cs="宋体"/>
          <w:color w:val="333333"/>
          <w:kern w:val="0"/>
          <w:szCs w:val="21"/>
        </w:rPr>
      </w:pPr>
      <w:r>
        <w:rPr>
          <w:rFonts w:hint="eastAsia" w:ascii="宋体" w:hAnsi="宋体" w:eastAsia="宋体" w:cs="宋体"/>
          <w:color w:val="333333"/>
          <w:kern w:val="0"/>
          <w:szCs w:val="21"/>
        </w:rPr>
        <w:t>　　（四）作好政策宣传和引导工作。切实加强对行动计划的宣传引导，加大对相关工作政策和信息的宣传力度，加强对企业的宣传引导，营造社会各界积极参与标准联通“一带一路”建设的良好氛围。</w:t>
      </w:r>
    </w:p>
    <w:p/>
    <w:p/>
    <w:p/>
    <w:p/>
    <w:p/>
    <w:p/>
    <w:p/>
    <w:p/>
    <w:p/>
    <w:p/>
    <w:p/>
    <w:p/>
    <w:p/>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宋体" w:hAnsi="宋体" w:eastAsia="宋体" w:cs="宋体"/>
          <w:b w:val="0"/>
          <w:i w:val="0"/>
          <w:caps w:val="0"/>
          <w:color w:val="000000"/>
          <w:spacing w:val="0"/>
          <w:sz w:val="24"/>
          <w:szCs w:val="24"/>
          <w:bdr w:val="none" w:color="auto" w:sz="0" w:space="0"/>
        </w:rPr>
      </w:pPr>
      <w:r>
        <w:rPr>
          <w:rFonts w:hint="eastAsia" w:ascii="微软雅黑" w:hAnsi="微软雅黑" w:eastAsia="微软雅黑" w:cs="微软雅黑"/>
          <w:b w:val="0"/>
          <w:i w:val="0"/>
          <w:caps w:val="0"/>
          <w:color w:val="000000"/>
          <w:spacing w:val="0"/>
          <w:sz w:val="39"/>
          <w:szCs w:val="39"/>
          <w:bdr w:val="none" w:color="auto" w:sz="0" w:space="0"/>
        </w:rPr>
        <w:t>《推动共建丝绸之路经济带和21世纪海上丝绸之路的愿景与行动》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国家发展改革委、外交部、商务部28日联合发布了《推动共建丝绸之路经济带和21世纪海上丝绸之路的愿景与行动》。全文如下：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center"/>
        <w:rPr>
          <w:rFonts w:hint="eastAsia" w:ascii="宋体" w:hAnsi="宋体" w:eastAsia="宋体" w:cs="宋体"/>
          <w:b w:val="0"/>
          <w:i w:val="0"/>
          <w:caps w:val="0"/>
          <w:color w:val="000000"/>
          <w:spacing w:val="0"/>
          <w:sz w:val="24"/>
          <w:szCs w:val="24"/>
        </w:rPr>
      </w:pPr>
      <w:r>
        <w:rPr>
          <w:rStyle w:val="5"/>
          <w:rFonts w:hint="eastAsia" w:ascii="宋体" w:hAnsi="宋体" w:eastAsia="宋体" w:cs="宋体"/>
          <w:i w:val="0"/>
          <w:caps w:val="0"/>
          <w:color w:val="000080"/>
          <w:spacing w:val="0"/>
          <w:sz w:val="24"/>
          <w:szCs w:val="24"/>
          <w:bdr w:val="none" w:color="auto" w:sz="0" w:space="0"/>
        </w:rPr>
        <w:t>推动共建丝绸之路经济带和21世纪海上丝绸之路的愿景与行动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center"/>
        <w:rPr>
          <w:rFonts w:hint="eastAsia" w:ascii="宋体" w:hAnsi="宋体" w:eastAsia="宋体" w:cs="宋体"/>
          <w:b w:val="0"/>
          <w:i w:val="0"/>
          <w:caps w:val="0"/>
          <w:color w:val="000000"/>
          <w:spacing w:val="0"/>
          <w:sz w:val="24"/>
          <w:szCs w:val="24"/>
        </w:rPr>
      </w:pPr>
      <w:r>
        <w:rPr>
          <w:rStyle w:val="5"/>
          <w:rFonts w:hint="eastAsia" w:ascii="宋体" w:hAnsi="宋体" w:eastAsia="宋体" w:cs="宋体"/>
          <w:i w:val="0"/>
          <w:caps w:val="0"/>
          <w:color w:val="000080"/>
          <w:spacing w:val="0"/>
          <w:sz w:val="24"/>
          <w:szCs w:val="24"/>
          <w:bdr w:val="none" w:color="auto" w:sz="0" w:space="0"/>
        </w:rPr>
        <w:t>国家发展改革委 外交部 商务部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center"/>
        <w:rPr>
          <w:rFonts w:hint="eastAsia" w:ascii="宋体" w:hAnsi="宋体" w:eastAsia="宋体" w:cs="宋体"/>
          <w:b w:val="0"/>
          <w:i w:val="0"/>
          <w:caps w:val="0"/>
          <w:color w:val="000000"/>
          <w:spacing w:val="0"/>
          <w:sz w:val="24"/>
          <w:szCs w:val="24"/>
        </w:rPr>
      </w:pPr>
      <w:r>
        <w:rPr>
          <w:rStyle w:val="5"/>
          <w:rFonts w:hint="eastAsia" w:ascii="宋体" w:hAnsi="宋体" w:eastAsia="宋体" w:cs="宋体"/>
          <w:i w:val="0"/>
          <w:caps w:val="0"/>
          <w:color w:val="000080"/>
          <w:spacing w:val="0"/>
          <w:sz w:val="24"/>
          <w:szCs w:val="24"/>
          <w:bdr w:val="none" w:color="auto" w:sz="0" w:space="0"/>
        </w:rPr>
        <w:t>（经国务院授权发布）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center"/>
        <w:rPr>
          <w:rFonts w:hint="eastAsia" w:ascii="宋体" w:hAnsi="宋体" w:eastAsia="宋体" w:cs="宋体"/>
          <w:b w:val="0"/>
          <w:i w:val="0"/>
          <w:caps w:val="0"/>
          <w:color w:val="000000"/>
          <w:spacing w:val="0"/>
          <w:sz w:val="24"/>
          <w:szCs w:val="24"/>
        </w:rPr>
      </w:pPr>
      <w:r>
        <w:rPr>
          <w:rStyle w:val="5"/>
          <w:rFonts w:hint="eastAsia" w:ascii="宋体" w:hAnsi="宋体" w:eastAsia="宋体" w:cs="宋体"/>
          <w:i w:val="0"/>
          <w:caps w:val="0"/>
          <w:color w:val="000080"/>
          <w:spacing w:val="0"/>
          <w:sz w:val="24"/>
          <w:szCs w:val="24"/>
          <w:bdr w:val="none" w:color="auto" w:sz="0" w:space="0"/>
        </w:rPr>
        <w:t>2015年3月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Style w:val="5"/>
          <w:rFonts w:hint="eastAsia" w:ascii="宋体" w:hAnsi="宋体" w:eastAsia="宋体" w:cs="宋体"/>
          <w:i w:val="0"/>
          <w:caps w:val="0"/>
          <w:color w:val="000080"/>
          <w:spacing w:val="0"/>
          <w:sz w:val="24"/>
          <w:szCs w:val="24"/>
          <w:bdr w:val="none" w:color="auto" w:sz="0" w:space="0"/>
        </w:rPr>
        <w:t>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前言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一、时代背景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二、共建原则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三、框架思路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四、合作重点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五、合作机制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六、中国各地方开放态势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七、中国积极行动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八、共创美好未来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Style w:val="5"/>
          <w:rFonts w:hint="eastAsia" w:ascii="宋体" w:hAnsi="宋体" w:eastAsia="宋体" w:cs="宋体"/>
          <w:i w:val="0"/>
          <w:caps w:val="0"/>
          <w:color w:val="000080"/>
          <w:spacing w:val="0"/>
          <w:sz w:val="24"/>
          <w:szCs w:val="24"/>
          <w:bdr w:val="none" w:color="auto" w:sz="0" w:space="0"/>
        </w:rPr>
        <w:t>前言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2000多年前，亚欧大陆上勤劳勇敢的人民，探索出多条连接亚欧非几大文明的贸易和人文交流通路，后人将其统称为“丝绸之路”。千百年来，“和平合作、开放包容、互学互鉴、互利共赢”的丝绸之路精神薪火相传，推进了人类文明进步，是促进沿线各国繁荣发展的重要纽带，是东西方交流合作的象征，是世界各国共有的历史文化遗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进入21世纪，在以和平、发展、合作、共赢为主题的新时代，面对复苏乏力的全球经济形势，纷繁复杂的国际和地区局面，传承和弘扬丝绸之路精神更显重要和珍贵。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2013年9月和10月，中国国家主席习近平在出访中亚和东南亚国家期间，先后提出共建“丝绸之路经济带”和“21世纪海上丝绸之路”（以下简称“</w:t>
      </w:r>
      <w:r>
        <w:rPr>
          <w:rFonts w:hint="eastAsia" w:ascii="宋体" w:hAnsi="宋体" w:eastAsia="宋体" w:cs="宋体"/>
          <w:b w:val="0"/>
          <w:i w:val="0"/>
          <w:caps w:val="0"/>
          <w:color w:val="800080"/>
          <w:spacing w:val="0"/>
          <w:sz w:val="24"/>
          <w:szCs w:val="24"/>
          <w:u w:val="none"/>
          <w:bdr w:val="none" w:color="auto" w:sz="0" w:space="0"/>
        </w:rPr>
        <w:fldChar w:fldCharType="begin"/>
      </w:r>
      <w:r>
        <w:rPr>
          <w:rFonts w:hint="eastAsia" w:ascii="宋体" w:hAnsi="宋体" w:eastAsia="宋体" w:cs="宋体"/>
          <w:b w:val="0"/>
          <w:i w:val="0"/>
          <w:caps w:val="0"/>
          <w:color w:val="800080"/>
          <w:spacing w:val="0"/>
          <w:sz w:val="24"/>
          <w:szCs w:val="24"/>
          <w:u w:val="none"/>
          <w:bdr w:val="none" w:color="auto" w:sz="0" w:space="0"/>
        </w:rPr>
        <w:instrText xml:space="preserve"> HYPERLINK "http://www.mnw.cn/news/china/879280.html" \t "http://www.mnw.cn/news/china/_blank" </w:instrText>
      </w:r>
      <w:r>
        <w:rPr>
          <w:rFonts w:hint="eastAsia" w:ascii="宋体" w:hAnsi="宋体" w:eastAsia="宋体" w:cs="宋体"/>
          <w:b w:val="0"/>
          <w:i w:val="0"/>
          <w:caps w:val="0"/>
          <w:color w:val="800080"/>
          <w:spacing w:val="0"/>
          <w:sz w:val="24"/>
          <w:szCs w:val="24"/>
          <w:u w:val="none"/>
          <w:bdr w:val="none" w:color="auto" w:sz="0" w:space="0"/>
        </w:rPr>
        <w:fldChar w:fldCharType="separate"/>
      </w:r>
      <w:r>
        <w:rPr>
          <w:rStyle w:val="6"/>
          <w:rFonts w:hint="eastAsia" w:ascii="宋体" w:hAnsi="宋体" w:eastAsia="宋体" w:cs="宋体"/>
          <w:b w:val="0"/>
          <w:i w:val="0"/>
          <w:caps w:val="0"/>
          <w:color w:val="800080"/>
          <w:spacing w:val="0"/>
          <w:sz w:val="24"/>
          <w:szCs w:val="24"/>
          <w:u w:val="none"/>
          <w:bdr w:val="none" w:color="auto" w:sz="0" w:space="0"/>
        </w:rPr>
        <w:t>一带一路</w:t>
      </w:r>
      <w:r>
        <w:rPr>
          <w:rFonts w:hint="eastAsia" w:ascii="宋体" w:hAnsi="宋体" w:eastAsia="宋体" w:cs="宋体"/>
          <w:b w:val="0"/>
          <w:i w:val="0"/>
          <w:caps w:val="0"/>
          <w:color w:val="800080"/>
          <w:spacing w:val="0"/>
          <w:sz w:val="24"/>
          <w:szCs w:val="24"/>
          <w:u w:val="none"/>
          <w:bdr w:val="none" w:color="auto" w:sz="0" w:space="0"/>
        </w:rPr>
        <w:fldChar w:fldCharType="end"/>
      </w:r>
      <w:r>
        <w:rPr>
          <w:rFonts w:hint="eastAsia" w:ascii="宋体" w:hAnsi="宋体" w:eastAsia="宋体" w:cs="宋体"/>
          <w:b w:val="0"/>
          <w:i w:val="0"/>
          <w:caps w:val="0"/>
          <w:color w:val="000000"/>
          <w:spacing w:val="0"/>
          <w:sz w:val="24"/>
          <w:szCs w:val="24"/>
          <w:bdr w:val="none" w:color="auto" w:sz="0" w:space="0"/>
        </w:rPr>
        <w:t>”）的重大倡议，得到国际社会高度关注。中国国务院总理李克强参加2013年中国－东盟博览会时强调，铺就面向东盟的海上丝绸之路，打造带动腹地发展的战略支点。加快“一带一路”建设，有利于促进沿线各国经济繁荣与区域经济合作，加强不同文明交流互鉴，促进世界和平发展，是一项造福世界各国人民的伟大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一带一路”建设是一项系统工程，要坚持共商、共建、共享原则，积极推进沿线国家发展战略的相互对接。为推进实施“一带一路”重大倡议，让古丝绸之路焕发新的生机活力，以新的形式使亚欧非各国联系更加紧密，互利合作迈向新的历史高度，中国政府特制定并发布《推动共建丝绸之路经济带和21世纪海上丝绸之路的愿景与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Style w:val="5"/>
          <w:rFonts w:hint="eastAsia" w:ascii="宋体" w:hAnsi="宋体" w:eastAsia="宋体" w:cs="宋体"/>
          <w:i w:val="0"/>
          <w:caps w:val="0"/>
          <w:color w:val="000080"/>
          <w:spacing w:val="0"/>
          <w:sz w:val="24"/>
          <w:szCs w:val="24"/>
          <w:bdr w:val="none" w:color="auto" w:sz="0" w:space="0"/>
        </w:rPr>
        <w:t>一、时代背景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当今世界正发生复杂深刻的变化，国际金融危机深层次影响继续显现，世界经济缓慢复苏、发展分化，国际投资贸易格局和多边投资贸易规则酝酿深刻调整，各国面临的发展问题依然严峻。</w:t>
      </w:r>
      <w:r>
        <w:rPr>
          <w:rFonts w:hint="eastAsia" w:ascii="宋体" w:hAnsi="宋体" w:eastAsia="宋体" w:cs="宋体"/>
          <w:b w:val="0"/>
          <w:i w:val="0"/>
          <w:caps w:val="0"/>
          <w:color w:val="0000FF"/>
          <w:spacing w:val="0"/>
          <w:sz w:val="24"/>
          <w:szCs w:val="24"/>
          <w:bdr w:val="none" w:color="auto" w:sz="0" w:space="0"/>
        </w:rPr>
        <w:t>共建“一带一路”顺应世界多极化、经济全球化、文化多样化、社会信息化的潮流，秉持开放的区域合作精神，致力于维护全球自由贸易体系和开放型世界经济。</w:t>
      </w:r>
      <w:r>
        <w:rPr>
          <w:rFonts w:hint="eastAsia" w:ascii="宋体" w:hAnsi="宋体" w:eastAsia="宋体" w:cs="宋体"/>
          <w:b w:val="0"/>
          <w:i w:val="0"/>
          <w:caps w:val="0"/>
          <w:color w:val="000000"/>
          <w:spacing w:val="0"/>
          <w:sz w:val="24"/>
          <w:szCs w:val="24"/>
          <w:bdr w:val="none" w:color="auto" w:sz="0" w:space="0"/>
        </w:rPr>
        <w:t>共建“一带一路”旨在促进经济要素有序自由流动、资源高效配置和市场深度融合，推动沿线各国实现经济政策协调，开展更大范围、更高水平、更深层次的区域合作，共同打造开放、包容、均衡、普惠的区域经济合作架构。共建“一带一路”符合国际社会的根本利益，彰显人类社会共同理想和美好追求，是国际合作以及全球治理新模式的积极探索，将为世界和平发展增添新的正能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共建“一带一路”致力于亚欧非大陆及附近海洋的互联互通，建立和加强沿线各国互联互通伙伴关系，构建全方位、多层次、复合型的互联互通网络，实现沿线各国多元、自主、平衡、可持续的发展。“一带一路”的互联互通项目将推动沿线各国发展战略的对接与耦合，发掘区域内市场的潜力，促进投资和消费，创造需求和就业，增进沿线各国人民的人文交流与文明互鉴，让各国人民相逢相知、互信互敬，共享和谐、安宁、富裕的生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FF"/>
          <w:spacing w:val="0"/>
          <w:sz w:val="24"/>
          <w:szCs w:val="24"/>
        </w:rPr>
      </w:pPr>
      <w:r>
        <w:rPr>
          <w:rFonts w:hint="eastAsia" w:ascii="宋体" w:hAnsi="宋体" w:eastAsia="宋体" w:cs="宋体"/>
          <w:b w:val="0"/>
          <w:i w:val="0"/>
          <w:caps w:val="0"/>
          <w:color w:val="000000"/>
          <w:spacing w:val="0"/>
          <w:sz w:val="24"/>
          <w:szCs w:val="24"/>
          <w:bdr w:val="none" w:color="auto" w:sz="0" w:space="0"/>
        </w:rPr>
        <w:t>　　当前，中国经济和世界经济高度关联。中国将一以贯之地坚持对外开放的基本国策，构建全方位开放新格局，深度融入世界经济体系。</w:t>
      </w:r>
      <w:r>
        <w:rPr>
          <w:rFonts w:hint="eastAsia" w:ascii="宋体" w:hAnsi="宋体" w:eastAsia="宋体" w:cs="宋体"/>
          <w:b w:val="0"/>
          <w:i w:val="0"/>
          <w:caps w:val="0"/>
          <w:color w:val="0000FF"/>
          <w:spacing w:val="0"/>
          <w:sz w:val="24"/>
          <w:szCs w:val="24"/>
          <w:bdr w:val="none" w:color="auto" w:sz="0" w:space="0"/>
        </w:rPr>
        <w:t>推进“一带一路”建设既是中国扩大和深化对外开放的需要，也是加强和亚欧非及世界各国互利合作的需要，中国愿意在力所能及的范围内承担更多责任义务，为人类和平发展作出更大的贡献。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Style w:val="5"/>
          <w:rFonts w:hint="eastAsia" w:ascii="宋体" w:hAnsi="宋体" w:eastAsia="宋体" w:cs="宋体"/>
          <w:i w:val="0"/>
          <w:caps w:val="0"/>
          <w:color w:val="000080"/>
          <w:spacing w:val="0"/>
          <w:sz w:val="24"/>
          <w:szCs w:val="24"/>
          <w:bdr w:val="none" w:color="auto" w:sz="0" w:space="0"/>
        </w:rPr>
        <w:t>二、共建原则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恪守联合国宪章的宗旨和原则。遵守和平共处五项原则，即尊重各国主权和领土完整、互不侵犯、互不干涉内政、和平共处、平等互利。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坚持开放合作。“一带一路”相关的国家基于但不限于古代丝绸之路的范围，各国和国际、地区组织均可参与，让共建成果惠及更广泛的区域。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坚持和谐包容。倡导文明宽容，尊重各国发展道路和模式的选择，加强不同文明之间的对话，求同存异、兼容并蓄、和平共处、共生共荣。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坚持市场运作。遵循市场规律和国际通行规则，充分发挥市场在资源配置中的决定性作用和各类企业的主体作用，同时发挥好政府的作用。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坚持互利共赢。兼顾各方利益和关切，寻求利益契合点和合作最大公约数，体现各方智慧和创意，各施所长，各尽所能，把各方优势和潜力充分发挥出来。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Style w:val="5"/>
          <w:rFonts w:hint="eastAsia" w:ascii="宋体" w:hAnsi="宋体" w:eastAsia="宋体" w:cs="宋体"/>
          <w:i w:val="0"/>
          <w:caps w:val="0"/>
          <w:color w:val="000080"/>
          <w:spacing w:val="0"/>
          <w:sz w:val="24"/>
          <w:szCs w:val="24"/>
          <w:bdr w:val="none" w:color="auto" w:sz="0" w:space="0"/>
        </w:rPr>
        <w:t>三、框架思路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一带一路”是促进共同发展、实现共同繁荣的合作共赢之路，是增进理解信任、加强全方位交流的和平友谊之路。中国政府倡议，秉持和平合作、开放包容、互学互鉴、互利共赢的理念，全方位推进务实合作，打造政治互信、经济融合、文化包容的利益共同体、命运共同体和责任共同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一带一路”贯穿亚欧非大陆，一头是活跃的东亚经济圈，一头是发达的欧洲经济圈，中间广大腹地国家经济发展潜力巨大。丝绸之路经济带重点畅通中国经中亚、俄罗斯至欧洲（波罗的海）；中国经中亚、西亚至波斯湾、地中海；中国至东南亚、南亚、印度洋。21世纪海上丝绸之路重点方向是从中国沿海港口过南海到印度洋，延伸至欧洲；从中国沿海港口过南海到南太平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根据“一带一路”走向，陆上依托国际大通道，以沿线中心城市为支撑，以重点经贸产业园区为合作平台，共同打造新亚欧大陆桥、中蒙俄、中国－中亚－西亚、中国－中南半岛等国际经济合作走廊；海上以重点港口为节点，共同建设通畅安全高效的运输大通道。中巴、孟中印缅两个经济走廊与推进“一带一路”建设关联紧密，要进一步推动合作，取得更大进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一带一路”建设是沿线各国开放合作的宏大经济愿景，需各国携手努力，朝着互利互惠、共同安全的目标相向而行。努力实现区域基础设施更加完善，安全高效的陆海空通道网络基本形成，互联互通达到新水平；投资贸易便利化水平进一步提升，高标准自由贸易区网络基本形成，经济联系更加紧密，政治互信更加深入；人文交流更加广泛深入，不同文明互鉴共荣，各国人民相知相交、和平友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Style w:val="5"/>
          <w:rFonts w:hint="eastAsia" w:ascii="宋体" w:hAnsi="宋体" w:eastAsia="宋体" w:cs="宋体"/>
          <w:i w:val="0"/>
          <w:caps w:val="0"/>
          <w:color w:val="000080"/>
          <w:spacing w:val="0"/>
          <w:sz w:val="24"/>
          <w:szCs w:val="24"/>
          <w:bdr w:val="none" w:color="auto" w:sz="0" w:space="0"/>
        </w:rPr>
        <w:t>四、合作重点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沿线各国资源禀赋各异，经济互补性较强，彼此合作潜力和空间很大。以政策沟通、设施联通、贸易畅通、资金融通、民心相通为主要内容，重点在以下方面加强合作。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政策沟通。加强政策沟通是“一带一路”建设的重要保障。加强政府间合作，积极构建多层次政府间宏观政策沟通交流机制，深化利益融合，促进政治互信，达成合作新共识。沿线各国可以就经济发展战略和对策进行充分交流对接，共同制定推进区域合作的规划和措施，协商解决合作中的问题，共同为务实合作及大型项目实施提供政策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设施联通。基础设施互联互通是“一带一路”建设的优先领域。在尊重相关国家主权和安全关切的基础上，沿线国家宜加强基础设施建设规划、</w:t>
      </w:r>
      <w:r>
        <w:rPr>
          <w:rFonts w:hint="eastAsia" w:ascii="宋体" w:hAnsi="宋体" w:eastAsia="宋体" w:cs="宋体"/>
          <w:b w:val="0"/>
          <w:i w:val="0"/>
          <w:caps w:val="0"/>
          <w:color w:val="0000FF"/>
          <w:spacing w:val="0"/>
          <w:sz w:val="24"/>
          <w:szCs w:val="24"/>
          <w:bdr w:val="none" w:color="auto" w:sz="0" w:space="0"/>
        </w:rPr>
        <w:t>技术标准体系的对接，</w:t>
      </w:r>
      <w:r>
        <w:rPr>
          <w:rFonts w:hint="eastAsia" w:ascii="宋体" w:hAnsi="宋体" w:eastAsia="宋体" w:cs="宋体"/>
          <w:b w:val="0"/>
          <w:i w:val="0"/>
          <w:caps w:val="0"/>
          <w:color w:val="000000"/>
          <w:spacing w:val="0"/>
          <w:sz w:val="24"/>
          <w:szCs w:val="24"/>
          <w:bdr w:val="none" w:color="auto" w:sz="0" w:space="0"/>
        </w:rPr>
        <w:t>共同推进国际骨干通道建设，逐步形成连接亚洲各次区域以及亚欧非之间的基础设施网络。强化基础设施绿色低碳化建设和运营管理，在建设中充分考虑气候变化影响。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抓住交通基础设施的关键通道、关键节点和重点工程，优先打通缺失路段，畅通瓶颈路段，配套完善道路安全防护设施和交通管理设施设备，提升道路通达水平。推进建立统一的全程运输协调机制，促进国际通关、换装、多式联运有机衔接，逐步形成兼容规范的运输规则，实现国际运输便利化。推动口岸基础设施建设，畅通陆水联运通道，推进港口合作建设，增加海上航线和班次，加强海上物流信息化合作。拓展建立民航全面合作的平台和机制，加快提升航空基础设施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加强能源基础设施互联互通合作，共同维护输油、输气管道等运输通道安全，推进跨境电力与输电通道建设，积极开展区域电网升级改造合作。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共同推进跨境光缆等通信干线网络建设，提高国际通信互联互通水平，畅通信息丝绸之路。加快推进双边跨境光缆等建设，规划建设洲际海底光缆项目，完善空中（卫星）信息通道，扩大信息交流与合作。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贸易畅通。投资贸易合作是“一带一路”建设的重点内容。宜着力研究解决投资贸易便利化问题，消除投资和贸易壁垒，构建区域内和各国良好的营商环境，积极同沿线国家和地区共同商建自由贸易区，激发释放合作潜力，做大做好合作“蛋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沿线国家宜加强信息互换、监管互认、执法互助的海关合作，以及检验检疫、认证认可、标准计量、统计信息等方面的双多边合作，推动世界贸易组织《贸易便利化协定》生效和实施。改善边境口岸通关设施条件，加快边境口岸“单一窗口”建设，降低通关成本，提升通关能力。加强供应链安全与便利化合作，推进跨境监管程序协调，推动检验检疫证书国际</w:t>
      </w:r>
      <w:r>
        <w:rPr>
          <w:rFonts w:hint="eastAsia" w:ascii="宋体" w:hAnsi="宋体" w:eastAsia="宋体" w:cs="宋体"/>
          <w:b w:val="0"/>
          <w:i w:val="0"/>
          <w:caps w:val="0"/>
          <w:color w:val="800080"/>
          <w:spacing w:val="0"/>
          <w:sz w:val="24"/>
          <w:szCs w:val="24"/>
          <w:u w:val="none"/>
          <w:bdr w:val="none" w:color="auto" w:sz="0" w:space="0"/>
        </w:rPr>
        <w:fldChar w:fldCharType="begin"/>
      </w:r>
      <w:r>
        <w:rPr>
          <w:rFonts w:hint="eastAsia" w:ascii="宋体" w:hAnsi="宋体" w:eastAsia="宋体" w:cs="宋体"/>
          <w:b w:val="0"/>
          <w:i w:val="0"/>
          <w:caps w:val="0"/>
          <w:color w:val="800080"/>
          <w:spacing w:val="0"/>
          <w:sz w:val="24"/>
          <w:szCs w:val="24"/>
          <w:u w:val="none"/>
          <w:bdr w:val="none" w:color="auto" w:sz="0" w:space="0"/>
        </w:rPr>
        <w:instrText xml:space="preserve"> HYPERLINK "http://www.mnw.cn/keji/internet/" \t "http://www.mnw.cn/news/china/_blank" </w:instrText>
      </w:r>
      <w:r>
        <w:rPr>
          <w:rFonts w:hint="eastAsia" w:ascii="宋体" w:hAnsi="宋体" w:eastAsia="宋体" w:cs="宋体"/>
          <w:b w:val="0"/>
          <w:i w:val="0"/>
          <w:caps w:val="0"/>
          <w:color w:val="800080"/>
          <w:spacing w:val="0"/>
          <w:sz w:val="24"/>
          <w:szCs w:val="24"/>
          <w:u w:val="none"/>
          <w:bdr w:val="none" w:color="auto" w:sz="0" w:space="0"/>
        </w:rPr>
        <w:fldChar w:fldCharType="separate"/>
      </w:r>
      <w:r>
        <w:rPr>
          <w:rStyle w:val="6"/>
          <w:rFonts w:hint="eastAsia" w:ascii="宋体" w:hAnsi="宋体" w:eastAsia="宋体" w:cs="宋体"/>
          <w:b w:val="0"/>
          <w:i w:val="0"/>
          <w:caps w:val="0"/>
          <w:color w:val="800080"/>
          <w:spacing w:val="0"/>
          <w:sz w:val="24"/>
          <w:szCs w:val="24"/>
          <w:u w:val="none"/>
          <w:bdr w:val="none" w:color="auto" w:sz="0" w:space="0"/>
        </w:rPr>
        <w:t>互联网</w:t>
      </w:r>
      <w:r>
        <w:rPr>
          <w:rFonts w:hint="eastAsia" w:ascii="宋体" w:hAnsi="宋体" w:eastAsia="宋体" w:cs="宋体"/>
          <w:b w:val="0"/>
          <w:i w:val="0"/>
          <w:caps w:val="0"/>
          <w:color w:val="800080"/>
          <w:spacing w:val="0"/>
          <w:sz w:val="24"/>
          <w:szCs w:val="24"/>
          <w:u w:val="none"/>
          <w:bdr w:val="none" w:color="auto" w:sz="0" w:space="0"/>
        </w:rPr>
        <w:fldChar w:fldCharType="end"/>
      </w:r>
      <w:r>
        <w:rPr>
          <w:rFonts w:hint="eastAsia" w:ascii="宋体" w:hAnsi="宋体" w:eastAsia="宋体" w:cs="宋体"/>
          <w:b w:val="0"/>
          <w:i w:val="0"/>
          <w:caps w:val="0"/>
          <w:color w:val="000000"/>
          <w:spacing w:val="0"/>
          <w:sz w:val="24"/>
          <w:szCs w:val="24"/>
          <w:bdr w:val="none" w:color="auto" w:sz="0" w:space="0"/>
        </w:rPr>
        <w:t>核查，开展“经认证的经营者”（AEO）互认。降低非关税壁垒，共同提高技术性贸易措施透明度，提高贸易自由化便利化水平。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拓宽贸易领域，优化贸易结构，挖掘贸易新增长点，促进贸易平衡。创新贸易方式，发展跨境</w:t>
      </w:r>
      <w:r>
        <w:rPr>
          <w:rFonts w:hint="eastAsia" w:ascii="宋体" w:hAnsi="宋体" w:eastAsia="宋体" w:cs="宋体"/>
          <w:b w:val="0"/>
          <w:i w:val="0"/>
          <w:caps w:val="0"/>
          <w:color w:val="800080"/>
          <w:spacing w:val="0"/>
          <w:sz w:val="24"/>
          <w:szCs w:val="24"/>
          <w:u w:val="none"/>
          <w:bdr w:val="none" w:color="auto" w:sz="0" w:space="0"/>
        </w:rPr>
        <w:fldChar w:fldCharType="begin"/>
      </w:r>
      <w:r>
        <w:rPr>
          <w:rFonts w:hint="eastAsia" w:ascii="宋体" w:hAnsi="宋体" w:eastAsia="宋体" w:cs="宋体"/>
          <w:b w:val="0"/>
          <w:i w:val="0"/>
          <w:caps w:val="0"/>
          <w:color w:val="800080"/>
          <w:spacing w:val="0"/>
          <w:sz w:val="24"/>
          <w:szCs w:val="24"/>
          <w:u w:val="none"/>
          <w:bdr w:val="none" w:color="auto" w:sz="0" w:space="0"/>
        </w:rPr>
        <w:instrText xml:space="preserve"> HYPERLINK "http://www.mnw.cn/keji/dianshang/" \t "http://www.mnw.cn/news/china/_blank" </w:instrText>
      </w:r>
      <w:r>
        <w:rPr>
          <w:rFonts w:hint="eastAsia" w:ascii="宋体" w:hAnsi="宋体" w:eastAsia="宋体" w:cs="宋体"/>
          <w:b w:val="0"/>
          <w:i w:val="0"/>
          <w:caps w:val="0"/>
          <w:color w:val="800080"/>
          <w:spacing w:val="0"/>
          <w:sz w:val="24"/>
          <w:szCs w:val="24"/>
          <w:u w:val="none"/>
          <w:bdr w:val="none" w:color="auto" w:sz="0" w:space="0"/>
        </w:rPr>
        <w:fldChar w:fldCharType="separate"/>
      </w:r>
      <w:r>
        <w:rPr>
          <w:rStyle w:val="6"/>
          <w:rFonts w:hint="eastAsia" w:ascii="宋体" w:hAnsi="宋体" w:eastAsia="宋体" w:cs="宋体"/>
          <w:b w:val="0"/>
          <w:i w:val="0"/>
          <w:caps w:val="0"/>
          <w:color w:val="800080"/>
          <w:spacing w:val="0"/>
          <w:sz w:val="24"/>
          <w:szCs w:val="24"/>
          <w:u w:val="none"/>
          <w:bdr w:val="none" w:color="auto" w:sz="0" w:space="0"/>
        </w:rPr>
        <w:t>电子商务</w:t>
      </w:r>
      <w:r>
        <w:rPr>
          <w:rFonts w:hint="eastAsia" w:ascii="宋体" w:hAnsi="宋体" w:eastAsia="宋体" w:cs="宋体"/>
          <w:b w:val="0"/>
          <w:i w:val="0"/>
          <w:caps w:val="0"/>
          <w:color w:val="800080"/>
          <w:spacing w:val="0"/>
          <w:sz w:val="24"/>
          <w:szCs w:val="24"/>
          <w:u w:val="none"/>
          <w:bdr w:val="none" w:color="auto" w:sz="0" w:space="0"/>
        </w:rPr>
        <w:fldChar w:fldCharType="end"/>
      </w:r>
      <w:r>
        <w:rPr>
          <w:rFonts w:hint="eastAsia" w:ascii="宋体" w:hAnsi="宋体" w:eastAsia="宋体" w:cs="宋体"/>
          <w:b w:val="0"/>
          <w:i w:val="0"/>
          <w:caps w:val="0"/>
          <w:color w:val="000000"/>
          <w:spacing w:val="0"/>
          <w:sz w:val="24"/>
          <w:szCs w:val="24"/>
          <w:bdr w:val="none" w:color="auto" w:sz="0" w:space="0"/>
        </w:rPr>
        <w:t>等新的商业业态。建立健全服务贸易促进体系，巩固和扩大传统贸易，大力发展现代服务贸易。把投资和贸易有机结合起来，以投资带动贸易发展。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加快投资便利化进程，消除投资壁垒。加强双边投资保护协定、避免双重征税协定磋商，保护投资者的合法权益。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拓展相互投资领域，开展农林牧渔业、农机及农产品生产加工等领域深度合作，积极推进海水养殖、远洋渔业、水产品加工、海水淡化、海洋生物制药、海洋工程技术、环保产业和海上旅游等领域合作。加大煤炭、油气、金属矿产等传统能源资源勘探开发合作，积极推动水电、核电、风电、太阳能等清洁、可再生能源合作，推进能源资源就地就近加工转化合作，形成能源资源合作上下游一体化产业链。加强能源资源深加工技术、装备与工程服务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推动新兴产业合作，按照优势互补、互利共赢的原则，促进沿线国家加强在新一代信息技术、生物、新能源、新材料等新兴产业领域的深入合作，推动建立创业投资合作机制。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优化产业链分工布局，推动上下游产业链和关联产业协同发展，鼓励建立研发、生产和营销体系，提升区域产业配套能力和综合竞争力。扩大服务业相互开放，推动区域服务业加快发展。探索投资合作新模式，鼓励合作建设境外经贸合作区、跨境经济合作区等各类产业园区，促进产业集群发展。在投资贸易中突出生态文明理念，加强生态环境、生物多样性和应对气候变化合作，共建绿色丝绸之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中国欢迎各国企业来华投资。鼓励本国企业参与沿线国家基础设施建设和产业投资。促进企业按属地化原则经营管理，积极帮助当地发展经济、增加就业、改善民生，主动承担社会责任，严格保护生物多样性和生态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资金融通。资金融通是“一带一路”建设的重要支撑。深化金融合作，推进亚洲货币稳定体系、投融资体系和信用体系建设。扩大沿线国家双边本币互换、结算的范围和规模。推动亚洲债券市场的开放和发展。共同推进亚洲基础设施投资银行、金砖国家开发银行筹建，有关各方就建立上海合作组织融资机构开展磋商。加快丝路基金组建运营。深化中国－东盟银行联合体、上合组织银行联合体务实合作，以银团贷款、银行授信等方式开展多边金融合作。支持沿线国家政府和信用等级较高的企业以及金融机构在中国境内发行人民币债券。符合条件的中国境内金融机构和企业可以在境外发行人民币债券和外币债券，鼓励在沿线国家使用所筹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加强金融监管合作，推动签署双边监管合作谅解备忘录，逐步在区域内建立高效监管协调机制。完善风险应对和危机处置制度安排，构建区域性金融风险预警系统，形成应对跨境风险和危机处置的交流合作机制。加强征信管理部门、征信机构和评级机构之间的跨境交流与合作。充分发挥丝路基金以及各国主权基金作用，引导商业性股权投资基金和社会资金共同参与“一带一路”重点项目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民心相通。民心相通是“一带一路”建设的社会根基。传承和弘扬丝绸之路友好合作精神，广泛开展文化交流、学术往来、人才交流合作、媒体合作、青年和妇女交往、志愿者服务等，为深化双多边合作奠定坚实的民意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扩大相互间留学生规模，开展合作办学，中国每年向沿线国家提供1万个政府奖学金名额。沿线国家间互办文化年、艺术节、电影节、电视周和图书展等活动，合作开展广播影视剧精品创作及翻译，联合申请世界文化遗产，共同开展世界遗产的联合保护工作。深化沿线国家间人才交流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加强旅游合作，扩大旅游规模，互办旅游推广周、宣传月等活动，联合打造具有丝绸之路特色的国际精品旅游线路和旅游产品，提高沿线各国游客签证便利化水平。推动21世纪海上丝绸之路邮轮旅游合作。积极开展体育交流活动，支持沿线国家申办重大国际体育赛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强化与周边国家在传染病疫情信息沟通、防治技术交流、专业人才培养等方面的合作，提高合作处理突发公共卫生事件的能力。为有关国家提供医疗援助和应急医疗救助，在妇幼健康、残疾人康复以及艾滋病、结核、疟疾等主要传染病领域开展务实合作，扩大在传统医药领域的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加强科技合作，共建联合实验室（研究中心）、国际技术转移中心、海上合作中心，促进科技人员交流，合作开展重大科技攻关，共同提升科技创新能力。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整合现有资源，积极开拓和推进与沿线国家在青年就业、创业培训、职业技能开发、社会保障管理服务、公共行政管理等共同关心领域的务实合作。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充分发挥政党、议会交往的桥梁作用，加强沿线国家之间立法机构、主要党派和政治组织的友好往来。开展城市交流合作，欢迎沿线国家重要城市之间互结友好城市，以人文交流为重点，突出务实合作，形成更多鲜活的合作范例。欢迎沿线国家智库之间开展联合研究、合作举办论坛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加强沿线国家民间组织的交流合作，重点面向基层民众，广泛开展教育医疗、减贫开发、生物多样性和生态环保等各类公益慈善活动，促进沿线贫困地区生产生活条件改善。加强文化传媒的国际交流合作，积极利用网络平台，运用新媒体工具，塑造和谐友好的文化生态和舆论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Style w:val="5"/>
          <w:rFonts w:hint="eastAsia" w:ascii="宋体" w:hAnsi="宋体" w:eastAsia="宋体" w:cs="宋体"/>
          <w:i w:val="0"/>
          <w:caps w:val="0"/>
          <w:color w:val="000080"/>
          <w:spacing w:val="0"/>
          <w:sz w:val="24"/>
          <w:szCs w:val="24"/>
          <w:bdr w:val="none" w:color="auto" w:sz="0" w:space="0"/>
        </w:rPr>
        <w:t>五、合作机制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当前，世界经济融合加速发展，区域合作方兴未艾。积极利用现有双多边合作机制，推动“一带一路”建设，促进区域合作蓬勃发展。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加强双边合作，开展多层次、多渠道沟通磋商，推动双边关系全面发展。推动签署合作备忘录或合作规划，建设一批双边合作示范。建立完善双边联合工作机制，研究推进“一带一路”建设的实施方案、行动路线图。充分发挥现有联委会、混委会、协委会、指导委员会、管理委员会等双边机制作用，协调推动合作项目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强化多边合作机制作用，发挥上海合作组织（SCO）、中国－东盟“10+1”、亚太经合组织（APEC）、亚欧会议（ASEM）、亚洲合作对话（ACD）、亚信会议（CICA）、中阿合作论坛、中国－海合会战略对话、大湄公河次区域（GMS）经济合作、中亚区域经济合作（CAREC）等现有多边合作机制作用，相关国家加强沟通，让更多国家和地区参与“一带一路”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继续发挥沿线各国区域、次区域相关国际论坛、展会以及博鳌亚洲论坛、中国－东盟博览会、中国－亚欧博览会、欧亚经济论坛、中国国际投资贸易洽谈会，以及中国－南亚博览会、中国－阿拉伯博览会、中国西部国际博览会、中国－俄罗斯博览会、前海合作论坛等平台的建设性作用。支持沿线国家地方、民间挖掘“一带一路”历史文化遗产，联合举办专项投资、贸易、文化交流活动，办好丝绸之路（敦煌）国际文化博览会、丝绸之路国际电影节和图书展。倡议建立“一带一路”国际高峰论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Style w:val="5"/>
          <w:rFonts w:hint="eastAsia" w:ascii="宋体" w:hAnsi="宋体" w:eastAsia="宋体" w:cs="宋体"/>
          <w:i w:val="0"/>
          <w:caps w:val="0"/>
          <w:color w:val="000080"/>
          <w:spacing w:val="0"/>
          <w:sz w:val="24"/>
          <w:szCs w:val="24"/>
          <w:bdr w:val="none" w:color="auto" w:sz="0" w:space="0"/>
        </w:rPr>
        <w:t>六、中国各地方开放态势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推进“一带一路”建设，中国将充分发挥国内各地区比较优势，实行更加积极主动的开放战略，加强东中西互动合作，全面提升开放型经济水平。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西北、东北地区。发挥新疆独特的区位优势和向西开放重要窗口作用，深化与中亚、南亚、西亚等国家交流合作，形成丝绸之路经济带上重要的交通枢纽、商贸物流和文化科教中心，打造丝绸之路经济带核心区。发挥陕西、甘肃综合经济文化和宁夏、青海民族人文优势，打造西安内陆型改革开放新高地，加快兰州、西宁开发开放，推进宁夏内陆开放型经济试验区建设，形成面向中亚、南亚、西亚国家的通道、商贸物流枢纽、重要产业和人文交流基地。发挥内蒙古联通俄蒙的区位优势，完善黑龙江对俄铁路通道和区域铁路网，以及黑龙江、吉林、辽宁与俄远东地区陆海联运合作，推进构建北京－莫斯科欧亚高速运输走廊，建设向北开放的重要窗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西南地区。发挥广西与东盟国家陆海相邻的独特优势，加快北部湾经济区和珠江－西江经济带开放发展，构建面向东盟区域的国际通道，打造西南、中南地区开放发展新的战略支点，形成21世纪海上丝绸之路与丝绸之路经济带有机衔接的重要门户。发挥云南区位优势，推进与周边国家的国际运输通道建设，打造大湄公河次区域经济合作新高地，建设成为面向南亚、东南亚的辐射中心。推进西藏与尼泊尔等国家边境贸易和旅游文化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沿海和港澳台地区。利用长三角、珠三角、海峡西岸、环渤海等经济区开放程度高、经济实力强、辐射带动作用大的优势，加快推进中国（上海）自由贸易试验区建设，支持福建建设21世纪海上丝绸之路核心区。充分发挥深圳前海、广州南沙、珠海横琴、福建平潭等开放合作区作用，深化与港澳台合作，打造粤港澳大湾区。推进浙江海洋经济发展示范区、福建海峡蓝色经济试验区和舟山群岛新区建设，加大海南国际旅游岛开发开放力度。加强上海、天津、宁波－舟山、广州、深圳、湛江、汕头、青岛、烟台、大连、福州、厦门、泉州、海口、三亚等沿海城市港口建设，强化上海、广州等国际枢纽机场功能。以扩大开放倒逼深层次改革，创新开放型经济体制机制，加大科技创新力度，形成参与和引领国际合作竞争新优势，成为“一带一路”特别是21世纪海上丝绸之路建设的排头兵和主力军。发挥海外侨胞以及香港、澳门特别行政区独特优势作用，积极参与和助力“一带一路”建设。为台湾地区参与“一带一路”建设作出妥善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内陆地区。利用内陆纵深广阔、人力资源丰富、产业基础较好优势，依托长江中游城市群、成渝城市群、中原城市群、呼包鄂榆城市群、哈长城市群等重点区域，推动区域互动合作和产业集聚发展，打造重庆西部开发开放重要支撑和成都、郑州、武汉、长沙、南昌、合肥等内陆开放型经济高地。加快推动长江中上游地区和俄罗斯伏尔加河沿岸联邦区的合作。建立中欧通道铁路运输、口岸通关协调机制，打造“中欧班列”品牌，建设沟通境内外、连接东中西的运输通道。支持郑州、西安等内陆城市建设航空港、国际陆港，加强内陆口岸与沿海、沿边口岸通关合作，开展跨境贸易</w:t>
      </w:r>
      <w:r>
        <w:rPr>
          <w:rFonts w:hint="eastAsia" w:ascii="宋体" w:hAnsi="宋体" w:eastAsia="宋体" w:cs="宋体"/>
          <w:b w:val="0"/>
          <w:i w:val="0"/>
          <w:caps w:val="0"/>
          <w:color w:val="800080"/>
          <w:spacing w:val="0"/>
          <w:sz w:val="24"/>
          <w:szCs w:val="24"/>
          <w:u w:val="none"/>
          <w:bdr w:val="none" w:color="auto" w:sz="0" w:space="0"/>
        </w:rPr>
        <w:fldChar w:fldCharType="begin"/>
      </w:r>
      <w:r>
        <w:rPr>
          <w:rFonts w:hint="eastAsia" w:ascii="宋体" w:hAnsi="宋体" w:eastAsia="宋体" w:cs="宋体"/>
          <w:b w:val="0"/>
          <w:i w:val="0"/>
          <w:caps w:val="0"/>
          <w:color w:val="800080"/>
          <w:spacing w:val="0"/>
          <w:sz w:val="24"/>
          <w:szCs w:val="24"/>
          <w:u w:val="none"/>
          <w:bdr w:val="none" w:color="auto" w:sz="0" w:space="0"/>
        </w:rPr>
        <w:instrText xml:space="preserve"> HYPERLINK "http://www.mnw.cn/keji/dianshang/" \t "http://www.mnw.cn/news/china/_blank" </w:instrText>
      </w:r>
      <w:r>
        <w:rPr>
          <w:rFonts w:hint="eastAsia" w:ascii="宋体" w:hAnsi="宋体" w:eastAsia="宋体" w:cs="宋体"/>
          <w:b w:val="0"/>
          <w:i w:val="0"/>
          <w:caps w:val="0"/>
          <w:color w:val="800080"/>
          <w:spacing w:val="0"/>
          <w:sz w:val="24"/>
          <w:szCs w:val="24"/>
          <w:u w:val="none"/>
          <w:bdr w:val="none" w:color="auto" w:sz="0" w:space="0"/>
        </w:rPr>
        <w:fldChar w:fldCharType="separate"/>
      </w:r>
      <w:r>
        <w:rPr>
          <w:rStyle w:val="6"/>
          <w:rFonts w:hint="eastAsia" w:ascii="宋体" w:hAnsi="宋体" w:eastAsia="宋体" w:cs="宋体"/>
          <w:b w:val="0"/>
          <w:i w:val="0"/>
          <w:caps w:val="0"/>
          <w:color w:val="800080"/>
          <w:spacing w:val="0"/>
          <w:sz w:val="24"/>
          <w:szCs w:val="24"/>
          <w:u w:val="none"/>
          <w:bdr w:val="none" w:color="auto" w:sz="0" w:space="0"/>
        </w:rPr>
        <w:t>电子商务</w:t>
      </w:r>
      <w:r>
        <w:rPr>
          <w:rFonts w:hint="eastAsia" w:ascii="宋体" w:hAnsi="宋体" w:eastAsia="宋体" w:cs="宋体"/>
          <w:b w:val="0"/>
          <w:i w:val="0"/>
          <w:caps w:val="0"/>
          <w:color w:val="800080"/>
          <w:spacing w:val="0"/>
          <w:sz w:val="24"/>
          <w:szCs w:val="24"/>
          <w:u w:val="none"/>
          <w:bdr w:val="none" w:color="auto" w:sz="0" w:space="0"/>
        </w:rPr>
        <w:fldChar w:fldCharType="end"/>
      </w:r>
      <w:r>
        <w:rPr>
          <w:rFonts w:hint="eastAsia" w:ascii="宋体" w:hAnsi="宋体" w:eastAsia="宋体" w:cs="宋体"/>
          <w:b w:val="0"/>
          <w:i w:val="0"/>
          <w:caps w:val="0"/>
          <w:color w:val="000000"/>
          <w:spacing w:val="0"/>
          <w:sz w:val="24"/>
          <w:szCs w:val="24"/>
          <w:bdr w:val="none" w:color="auto" w:sz="0" w:space="0"/>
        </w:rPr>
        <w:t>服务试点。优化海关特殊监管区域布局，创新加工贸易模式，深化与沿线国家的产业合作。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Style w:val="5"/>
          <w:rFonts w:hint="eastAsia" w:ascii="宋体" w:hAnsi="宋体" w:eastAsia="宋体" w:cs="宋体"/>
          <w:i w:val="0"/>
          <w:caps w:val="0"/>
          <w:color w:val="000080"/>
          <w:spacing w:val="0"/>
          <w:sz w:val="24"/>
          <w:szCs w:val="24"/>
          <w:bdr w:val="none" w:color="auto" w:sz="0" w:space="0"/>
        </w:rPr>
        <w:t>七、中国积极行动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一年多来，中国政府积极推动“一带一路”建设，加强与沿线国家的沟通磋商，推动与沿线国家的务实合作，实施了一系列政策措施，努力收获早期成果。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高层引领推动。习近平主席、李克强总理等国家领导人先后出访20多个国家，出席加强互联互通伙伴关系对话会、中阿合作论坛第六届部长级会议，就双边关系和地区发展问题，多次与有关国家元首和政府首脑进行会晤，深入阐释“一带一路”的深刻内涵和积极意义，就共建“一带一路”达成广泛共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签署合作框架。与部分国家签署了共建“一带一路”合作备忘录，与一些毗邻国家签署了地区合作和边境合作的备忘录以及经贸合作中长期发展规划。研究编制与一些毗邻国家的地区合作规划纲要。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推动项目建设。加强与沿线有关国家的沟通磋商，在基础设施互联互通、产业投资、资源开发、经贸合作、金融合作、人文交流、生态保护、海上合作等领域，推进了一批条件成熟的重点合作项目。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完善政策措施。中国政府统筹国内各种资源，强化政策支持。推动亚洲基础设施投资银行筹建，发起设立丝路基金，强化中国－欧亚经济合作基金投资功能。推动银行卡清算机构开展跨境清算业务和支付机构开展跨境支付业务。积极推进投资贸易便利化，推进区域通关一体化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发挥平台作用。各地成功举办了一系列以“一带一路”为主题的国际峰会、论坛、研讨会、博览会，对增进理解、凝聚共识、深化合作发挥了重要作用。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Style w:val="5"/>
          <w:rFonts w:hint="eastAsia" w:ascii="宋体" w:hAnsi="宋体" w:eastAsia="宋体" w:cs="宋体"/>
          <w:i w:val="0"/>
          <w:caps w:val="0"/>
          <w:color w:val="000080"/>
          <w:spacing w:val="0"/>
          <w:sz w:val="24"/>
          <w:szCs w:val="24"/>
          <w:bdr w:val="none" w:color="auto" w:sz="0" w:space="0"/>
        </w:rPr>
        <w:t>八、共创美好未来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共建“一带一路”是中国的倡议，也是中国与沿线国家的共同愿望。站在新的起点上，中国愿与沿线国家一道，以共建“一带一路”为契机，平等协商，兼顾各方利益，反映各方诉求，携手推动更大范围、更高水平、更深层次的大开放、大交流、大融合。“一带一路”建设是开放的、包容的，欢迎世界各国和国际、地区组织积极参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共建“一带一路”的途径是以目标协调、政策沟通为主，不刻意追求一致性，可高度灵活，富有弹性，是多元开放的合作进程。中国愿与沿线国家一道，不断充实完善“一带一路”的合作内容和方式，共同制定时间表、路线图，积极对接沿线国家发展和区域合作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中国愿与沿线国家一道，在既有双多边和区域次区域合作机制框架下，通过合作研究、论坛展会、人员培训、交流访问等多种形式，促进沿线国家对共建“一带一路”内涵、目标、任务等方面的进一步理解和认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中国愿与沿线国家一道，稳步推进示范项目建设，共同确定一批能够照顾双多边利益的项目，对各方认可、条件成熟的项目抓紧启动实施，争取早日开花结果。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35" w:afterAutospacing="0" w:line="420"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　　“一带一路”是一条互尊互信之路，一条合作共赢之路，一条文明互鉴之路。只要沿线各国和衷共济、相向而行，就一定能够谱写建设丝绸之路经济带和21世纪海上丝绸之路的新篇章，让沿线各国人民共享“一带一路”共建成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黑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564BA"/>
    <w:rsid w:val="000000FD"/>
    <w:rsid w:val="00001BA8"/>
    <w:rsid w:val="00004657"/>
    <w:rsid w:val="0000516C"/>
    <w:rsid w:val="00006856"/>
    <w:rsid w:val="00007467"/>
    <w:rsid w:val="00011256"/>
    <w:rsid w:val="000131DF"/>
    <w:rsid w:val="0001453D"/>
    <w:rsid w:val="0001493C"/>
    <w:rsid w:val="0001581C"/>
    <w:rsid w:val="0001588E"/>
    <w:rsid w:val="0002321D"/>
    <w:rsid w:val="000232EF"/>
    <w:rsid w:val="00023D5E"/>
    <w:rsid w:val="00025A10"/>
    <w:rsid w:val="00027E25"/>
    <w:rsid w:val="000302F9"/>
    <w:rsid w:val="00030B5D"/>
    <w:rsid w:val="000315A5"/>
    <w:rsid w:val="000322BB"/>
    <w:rsid w:val="00033AC9"/>
    <w:rsid w:val="00034011"/>
    <w:rsid w:val="0003720A"/>
    <w:rsid w:val="00040D22"/>
    <w:rsid w:val="00042605"/>
    <w:rsid w:val="0004360E"/>
    <w:rsid w:val="00043746"/>
    <w:rsid w:val="00047222"/>
    <w:rsid w:val="00047370"/>
    <w:rsid w:val="00047842"/>
    <w:rsid w:val="00053D43"/>
    <w:rsid w:val="00055D85"/>
    <w:rsid w:val="0005641F"/>
    <w:rsid w:val="000565C1"/>
    <w:rsid w:val="000568CD"/>
    <w:rsid w:val="00056E5C"/>
    <w:rsid w:val="00057C64"/>
    <w:rsid w:val="00061193"/>
    <w:rsid w:val="00061296"/>
    <w:rsid w:val="000621AA"/>
    <w:rsid w:val="000636DE"/>
    <w:rsid w:val="00064449"/>
    <w:rsid w:val="000663D8"/>
    <w:rsid w:val="000676FA"/>
    <w:rsid w:val="00070E9D"/>
    <w:rsid w:val="00071E7E"/>
    <w:rsid w:val="000733B9"/>
    <w:rsid w:val="00076E1E"/>
    <w:rsid w:val="00080EDE"/>
    <w:rsid w:val="00085569"/>
    <w:rsid w:val="00085F28"/>
    <w:rsid w:val="00086401"/>
    <w:rsid w:val="000869D9"/>
    <w:rsid w:val="00090786"/>
    <w:rsid w:val="00094211"/>
    <w:rsid w:val="0009595B"/>
    <w:rsid w:val="000A0CF4"/>
    <w:rsid w:val="000A1042"/>
    <w:rsid w:val="000A1AC3"/>
    <w:rsid w:val="000A1B48"/>
    <w:rsid w:val="000A30C5"/>
    <w:rsid w:val="000A3ED7"/>
    <w:rsid w:val="000A449D"/>
    <w:rsid w:val="000A468F"/>
    <w:rsid w:val="000A48AC"/>
    <w:rsid w:val="000A4A5F"/>
    <w:rsid w:val="000A5807"/>
    <w:rsid w:val="000A6BD0"/>
    <w:rsid w:val="000A75ED"/>
    <w:rsid w:val="000A7F00"/>
    <w:rsid w:val="000B1DDD"/>
    <w:rsid w:val="000B2581"/>
    <w:rsid w:val="000B3F70"/>
    <w:rsid w:val="000B430B"/>
    <w:rsid w:val="000B5CF3"/>
    <w:rsid w:val="000C0137"/>
    <w:rsid w:val="000C1824"/>
    <w:rsid w:val="000C1D80"/>
    <w:rsid w:val="000C336C"/>
    <w:rsid w:val="000C4340"/>
    <w:rsid w:val="000C4B78"/>
    <w:rsid w:val="000C4E76"/>
    <w:rsid w:val="000C6610"/>
    <w:rsid w:val="000C7707"/>
    <w:rsid w:val="000C7F64"/>
    <w:rsid w:val="000D0F57"/>
    <w:rsid w:val="000D1329"/>
    <w:rsid w:val="000D26D1"/>
    <w:rsid w:val="000D2BCC"/>
    <w:rsid w:val="000D382A"/>
    <w:rsid w:val="000D572F"/>
    <w:rsid w:val="000D5A1E"/>
    <w:rsid w:val="000D5F6E"/>
    <w:rsid w:val="000D62A4"/>
    <w:rsid w:val="000D6470"/>
    <w:rsid w:val="000D7125"/>
    <w:rsid w:val="000D74B0"/>
    <w:rsid w:val="000D77FC"/>
    <w:rsid w:val="000D78D1"/>
    <w:rsid w:val="000E13CC"/>
    <w:rsid w:val="000E1EEF"/>
    <w:rsid w:val="000E226C"/>
    <w:rsid w:val="000E2889"/>
    <w:rsid w:val="000E4E72"/>
    <w:rsid w:val="000E57B7"/>
    <w:rsid w:val="000E6932"/>
    <w:rsid w:val="000F25CC"/>
    <w:rsid w:val="000F349A"/>
    <w:rsid w:val="000F4796"/>
    <w:rsid w:val="000F53C4"/>
    <w:rsid w:val="000F6123"/>
    <w:rsid w:val="000F6AA5"/>
    <w:rsid w:val="000F6DF2"/>
    <w:rsid w:val="000F6EC1"/>
    <w:rsid w:val="0010084E"/>
    <w:rsid w:val="00102283"/>
    <w:rsid w:val="00104848"/>
    <w:rsid w:val="00104A10"/>
    <w:rsid w:val="00105818"/>
    <w:rsid w:val="001069E3"/>
    <w:rsid w:val="00111AE2"/>
    <w:rsid w:val="001141BD"/>
    <w:rsid w:val="0011444A"/>
    <w:rsid w:val="001144B9"/>
    <w:rsid w:val="00117892"/>
    <w:rsid w:val="00122290"/>
    <w:rsid w:val="00122497"/>
    <w:rsid w:val="0012256E"/>
    <w:rsid w:val="00127762"/>
    <w:rsid w:val="001277CE"/>
    <w:rsid w:val="001278D3"/>
    <w:rsid w:val="00127928"/>
    <w:rsid w:val="00127A56"/>
    <w:rsid w:val="00127D7B"/>
    <w:rsid w:val="00130497"/>
    <w:rsid w:val="00130D36"/>
    <w:rsid w:val="00133F66"/>
    <w:rsid w:val="0013409A"/>
    <w:rsid w:val="001352A1"/>
    <w:rsid w:val="00136281"/>
    <w:rsid w:val="0013630F"/>
    <w:rsid w:val="0013642C"/>
    <w:rsid w:val="00136CF7"/>
    <w:rsid w:val="0013753E"/>
    <w:rsid w:val="00140523"/>
    <w:rsid w:val="001412B8"/>
    <w:rsid w:val="001436C5"/>
    <w:rsid w:val="00145366"/>
    <w:rsid w:val="00146B2D"/>
    <w:rsid w:val="0015092A"/>
    <w:rsid w:val="00150D4D"/>
    <w:rsid w:val="001526B2"/>
    <w:rsid w:val="00153291"/>
    <w:rsid w:val="00154056"/>
    <w:rsid w:val="00154534"/>
    <w:rsid w:val="00154B5A"/>
    <w:rsid w:val="00154D25"/>
    <w:rsid w:val="00155B9A"/>
    <w:rsid w:val="00156095"/>
    <w:rsid w:val="00156A77"/>
    <w:rsid w:val="00160F18"/>
    <w:rsid w:val="00162985"/>
    <w:rsid w:val="001635E5"/>
    <w:rsid w:val="00165F54"/>
    <w:rsid w:val="0016680B"/>
    <w:rsid w:val="00167C22"/>
    <w:rsid w:val="00167D3F"/>
    <w:rsid w:val="001714CE"/>
    <w:rsid w:val="00172292"/>
    <w:rsid w:val="00173404"/>
    <w:rsid w:val="0017340D"/>
    <w:rsid w:val="001738FA"/>
    <w:rsid w:val="0017545B"/>
    <w:rsid w:val="0017595A"/>
    <w:rsid w:val="001768EA"/>
    <w:rsid w:val="00182B3C"/>
    <w:rsid w:val="00185080"/>
    <w:rsid w:val="00185C03"/>
    <w:rsid w:val="00186DBD"/>
    <w:rsid w:val="00187710"/>
    <w:rsid w:val="00187CB3"/>
    <w:rsid w:val="001911B8"/>
    <w:rsid w:val="00192283"/>
    <w:rsid w:val="001932CB"/>
    <w:rsid w:val="0019452F"/>
    <w:rsid w:val="001948F3"/>
    <w:rsid w:val="00196227"/>
    <w:rsid w:val="001A06CE"/>
    <w:rsid w:val="001A0AEE"/>
    <w:rsid w:val="001A1F31"/>
    <w:rsid w:val="001A31F3"/>
    <w:rsid w:val="001A337E"/>
    <w:rsid w:val="001A3B18"/>
    <w:rsid w:val="001A418C"/>
    <w:rsid w:val="001A47AB"/>
    <w:rsid w:val="001A7B24"/>
    <w:rsid w:val="001B22B5"/>
    <w:rsid w:val="001B23CF"/>
    <w:rsid w:val="001B36BC"/>
    <w:rsid w:val="001B55D1"/>
    <w:rsid w:val="001B57C0"/>
    <w:rsid w:val="001B5ADD"/>
    <w:rsid w:val="001B695D"/>
    <w:rsid w:val="001C059C"/>
    <w:rsid w:val="001C1034"/>
    <w:rsid w:val="001C1CDC"/>
    <w:rsid w:val="001C3215"/>
    <w:rsid w:val="001C4C66"/>
    <w:rsid w:val="001C6B29"/>
    <w:rsid w:val="001D0849"/>
    <w:rsid w:val="001D13BC"/>
    <w:rsid w:val="001D19CC"/>
    <w:rsid w:val="001D1CD0"/>
    <w:rsid w:val="001D404D"/>
    <w:rsid w:val="001D4B71"/>
    <w:rsid w:val="001D5AB0"/>
    <w:rsid w:val="001D6E18"/>
    <w:rsid w:val="001E0A2F"/>
    <w:rsid w:val="001E219A"/>
    <w:rsid w:val="001E31BC"/>
    <w:rsid w:val="001E32B7"/>
    <w:rsid w:val="001F17A4"/>
    <w:rsid w:val="001F2417"/>
    <w:rsid w:val="001F3182"/>
    <w:rsid w:val="001F3316"/>
    <w:rsid w:val="001F419E"/>
    <w:rsid w:val="001F4A51"/>
    <w:rsid w:val="001F5FD4"/>
    <w:rsid w:val="001F6F5E"/>
    <w:rsid w:val="00201419"/>
    <w:rsid w:val="00201B23"/>
    <w:rsid w:val="002052CC"/>
    <w:rsid w:val="002055A0"/>
    <w:rsid w:val="00205965"/>
    <w:rsid w:val="002075A9"/>
    <w:rsid w:val="0021030F"/>
    <w:rsid w:val="00211034"/>
    <w:rsid w:val="0021125F"/>
    <w:rsid w:val="002136DA"/>
    <w:rsid w:val="00213F6F"/>
    <w:rsid w:val="002140A5"/>
    <w:rsid w:val="00214540"/>
    <w:rsid w:val="00216A14"/>
    <w:rsid w:val="002176A0"/>
    <w:rsid w:val="00220B74"/>
    <w:rsid w:val="00223FCB"/>
    <w:rsid w:val="00226774"/>
    <w:rsid w:val="00230DA1"/>
    <w:rsid w:val="00231983"/>
    <w:rsid w:val="00231E10"/>
    <w:rsid w:val="00232154"/>
    <w:rsid w:val="00234428"/>
    <w:rsid w:val="0023551B"/>
    <w:rsid w:val="002368BB"/>
    <w:rsid w:val="0023694C"/>
    <w:rsid w:val="00237AD9"/>
    <w:rsid w:val="002411FE"/>
    <w:rsid w:val="002421B4"/>
    <w:rsid w:val="0024239C"/>
    <w:rsid w:val="00242510"/>
    <w:rsid w:val="00242B3A"/>
    <w:rsid w:val="00245D37"/>
    <w:rsid w:val="00246F2A"/>
    <w:rsid w:val="00247B9A"/>
    <w:rsid w:val="00250493"/>
    <w:rsid w:val="00250CB9"/>
    <w:rsid w:val="002516EF"/>
    <w:rsid w:val="002519E0"/>
    <w:rsid w:val="00251B5E"/>
    <w:rsid w:val="0025348A"/>
    <w:rsid w:val="002543BC"/>
    <w:rsid w:val="002565C9"/>
    <w:rsid w:val="00260ABA"/>
    <w:rsid w:val="00264A19"/>
    <w:rsid w:val="00264C3C"/>
    <w:rsid w:val="002650DC"/>
    <w:rsid w:val="00266135"/>
    <w:rsid w:val="002668AC"/>
    <w:rsid w:val="00266A35"/>
    <w:rsid w:val="00267195"/>
    <w:rsid w:val="00267FA2"/>
    <w:rsid w:val="00270AE1"/>
    <w:rsid w:val="002715E4"/>
    <w:rsid w:val="00271914"/>
    <w:rsid w:val="00271BA3"/>
    <w:rsid w:val="0027696A"/>
    <w:rsid w:val="00276BCD"/>
    <w:rsid w:val="00277370"/>
    <w:rsid w:val="002774FE"/>
    <w:rsid w:val="00281274"/>
    <w:rsid w:val="00282D36"/>
    <w:rsid w:val="002830A0"/>
    <w:rsid w:val="002842B2"/>
    <w:rsid w:val="00284BF0"/>
    <w:rsid w:val="00285483"/>
    <w:rsid w:val="00285928"/>
    <w:rsid w:val="00286433"/>
    <w:rsid w:val="00287658"/>
    <w:rsid w:val="00287BE4"/>
    <w:rsid w:val="0029089B"/>
    <w:rsid w:val="00290A7C"/>
    <w:rsid w:val="00294587"/>
    <w:rsid w:val="00294A78"/>
    <w:rsid w:val="00294D2E"/>
    <w:rsid w:val="00296431"/>
    <w:rsid w:val="0029698B"/>
    <w:rsid w:val="002A0B1B"/>
    <w:rsid w:val="002A461D"/>
    <w:rsid w:val="002A5B3A"/>
    <w:rsid w:val="002A6D8E"/>
    <w:rsid w:val="002A6FB9"/>
    <w:rsid w:val="002A72A8"/>
    <w:rsid w:val="002A73A4"/>
    <w:rsid w:val="002B04C2"/>
    <w:rsid w:val="002B056C"/>
    <w:rsid w:val="002B0A49"/>
    <w:rsid w:val="002B1296"/>
    <w:rsid w:val="002B155F"/>
    <w:rsid w:val="002B15F5"/>
    <w:rsid w:val="002B23DD"/>
    <w:rsid w:val="002B3921"/>
    <w:rsid w:val="002B3E82"/>
    <w:rsid w:val="002B3F21"/>
    <w:rsid w:val="002B42FB"/>
    <w:rsid w:val="002B5337"/>
    <w:rsid w:val="002B5601"/>
    <w:rsid w:val="002B6EC3"/>
    <w:rsid w:val="002C299E"/>
    <w:rsid w:val="002C5E7C"/>
    <w:rsid w:val="002C71AA"/>
    <w:rsid w:val="002C7FB3"/>
    <w:rsid w:val="002D0345"/>
    <w:rsid w:val="002D08AE"/>
    <w:rsid w:val="002D33F9"/>
    <w:rsid w:val="002D409E"/>
    <w:rsid w:val="002D413E"/>
    <w:rsid w:val="002D4775"/>
    <w:rsid w:val="002D4EFE"/>
    <w:rsid w:val="002D6961"/>
    <w:rsid w:val="002E04B6"/>
    <w:rsid w:val="002E1703"/>
    <w:rsid w:val="002E1F5D"/>
    <w:rsid w:val="002E2C98"/>
    <w:rsid w:val="002E3BF5"/>
    <w:rsid w:val="002E5CAB"/>
    <w:rsid w:val="002F0165"/>
    <w:rsid w:val="002F091B"/>
    <w:rsid w:val="002F3A4B"/>
    <w:rsid w:val="002F4201"/>
    <w:rsid w:val="002F4987"/>
    <w:rsid w:val="002F5EE6"/>
    <w:rsid w:val="002F6B99"/>
    <w:rsid w:val="002F755A"/>
    <w:rsid w:val="002F79DA"/>
    <w:rsid w:val="002F7C6A"/>
    <w:rsid w:val="00300BA0"/>
    <w:rsid w:val="00300DAC"/>
    <w:rsid w:val="00301813"/>
    <w:rsid w:val="00302AFD"/>
    <w:rsid w:val="003030D5"/>
    <w:rsid w:val="003037B4"/>
    <w:rsid w:val="00303D57"/>
    <w:rsid w:val="00304025"/>
    <w:rsid w:val="003058BA"/>
    <w:rsid w:val="00312ADD"/>
    <w:rsid w:val="00313063"/>
    <w:rsid w:val="0031438D"/>
    <w:rsid w:val="00315376"/>
    <w:rsid w:val="003159AC"/>
    <w:rsid w:val="00315F16"/>
    <w:rsid w:val="00320200"/>
    <w:rsid w:val="003218DE"/>
    <w:rsid w:val="00322867"/>
    <w:rsid w:val="00322B3B"/>
    <w:rsid w:val="00324725"/>
    <w:rsid w:val="00325DA3"/>
    <w:rsid w:val="003263AE"/>
    <w:rsid w:val="003266ED"/>
    <w:rsid w:val="0032679F"/>
    <w:rsid w:val="00327657"/>
    <w:rsid w:val="00330FA2"/>
    <w:rsid w:val="00332344"/>
    <w:rsid w:val="00333023"/>
    <w:rsid w:val="00334799"/>
    <w:rsid w:val="0033653D"/>
    <w:rsid w:val="00336742"/>
    <w:rsid w:val="003376A8"/>
    <w:rsid w:val="00337B9A"/>
    <w:rsid w:val="00337F9D"/>
    <w:rsid w:val="00342472"/>
    <w:rsid w:val="0034308E"/>
    <w:rsid w:val="00343551"/>
    <w:rsid w:val="00343A3D"/>
    <w:rsid w:val="00343EBE"/>
    <w:rsid w:val="00345516"/>
    <w:rsid w:val="00345F0E"/>
    <w:rsid w:val="00350435"/>
    <w:rsid w:val="00350EE5"/>
    <w:rsid w:val="00351FBA"/>
    <w:rsid w:val="00354481"/>
    <w:rsid w:val="00354EA5"/>
    <w:rsid w:val="003550B9"/>
    <w:rsid w:val="00355AE4"/>
    <w:rsid w:val="00356027"/>
    <w:rsid w:val="00356D32"/>
    <w:rsid w:val="00357C98"/>
    <w:rsid w:val="00360B13"/>
    <w:rsid w:val="00362A98"/>
    <w:rsid w:val="00362D90"/>
    <w:rsid w:val="00363E39"/>
    <w:rsid w:val="00364E82"/>
    <w:rsid w:val="003650D8"/>
    <w:rsid w:val="00365767"/>
    <w:rsid w:val="0036579D"/>
    <w:rsid w:val="00365C7C"/>
    <w:rsid w:val="00365E7E"/>
    <w:rsid w:val="00365EA3"/>
    <w:rsid w:val="00365EB3"/>
    <w:rsid w:val="003662AC"/>
    <w:rsid w:val="00366529"/>
    <w:rsid w:val="00366710"/>
    <w:rsid w:val="003668D7"/>
    <w:rsid w:val="003668D8"/>
    <w:rsid w:val="00367A7B"/>
    <w:rsid w:val="00371238"/>
    <w:rsid w:val="00371DB4"/>
    <w:rsid w:val="00371F41"/>
    <w:rsid w:val="00374821"/>
    <w:rsid w:val="00375690"/>
    <w:rsid w:val="0037671F"/>
    <w:rsid w:val="003770C7"/>
    <w:rsid w:val="00377121"/>
    <w:rsid w:val="003773E8"/>
    <w:rsid w:val="00377618"/>
    <w:rsid w:val="00377AE1"/>
    <w:rsid w:val="00380156"/>
    <w:rsid w:val="00380925"/>
    <w:rsid w:val="00381595"/>
    <w:rsid w:val="00382DC2"/>
    <w:rsid w:val="00382E74"/>
    <w:rsid w:val="0038449D"/>
    <w:rsid w:val="00386D6C"/>
    <w:rsid w:val="00387644"/>
    <w:rsid w:val="00387E8F"/>
    <w:rsid w:val="003915DC"/>
    <w:rsid w:val="00392505"/>
    <w:rsid w:val="00392539"/>
    <w:rsid w:val="003928C8"/>
    <w:rsid w:val="00393102"/>
    <w:rsid w:val="003936ED"/>
    <w:rsid w:val="003943A2"/>
    <w:rsid w:val="0039489F"/>
    <w:rsid w:val="00396F0C"/>
    <w:rsid w:val="003A1347"/>
    <w:rsid w:val="003A297C"/>
    <w:rsid w:val="003A3D6E"/>
    <w:rsid w:val="003A4323"/>
    <w:rsid w:val="003B0D55"/>
    <w:rsid w:val="003B2037"/>
    <w:rsid w:val="003B247F"/>
    <w:rsid w:val="003B283E"/>
    <w:rsid w:val="003B490D"/>
    <w:rsid w:val="003B5980"/>
    <w:rsid w:val="003B69CD"/>
    <w:rsid w:val="003C0481"/>
    <w:rsid w:val="003C09C4"/>
    <w:rsid w:val="003C0DCC"/>
    <w:rsid w:val="003C33BF"/>
    <w:rsid w:val="003C421D"/>
    <w:rsid w:val="003C443D"/>
    <w:rsid w:val="003C7395"/>
    <w:rsid w:val="003D00DC"/>
    <w:rsid w:val="003D02CB"/>
    <w:rsid w:val="003D1AAA"/>
    <w:rsid w:val="003D2194"/>
    <w:rsid w:val="003D5BE8"/>
    <w:rsid w:val="003D61B7"/>
    <w:rsid w:val="003D71E5"/>
    <w:rsid w:val="003D7F87"/>
    <w:rsid w:val="003E029B"/>
    <w:rsid w:val="003E09F5"/>
    <w:rsid w:val="003E1482"/>
    <w:rsid w:val="003E1632"/>
    <w:rsid w:val="003E2603"/>
    <w:rsid w:val="003E27A9"/>
    <w:rsid w:val="003E3159"/>
    <w:rsid w:val="003E42E6"/>
    <w:rsid w:val="003E4B0F"/>
    <w:rsid w:val="003E6D59"/>
    <w:rsid w:val="003E6EB3"/>
    <w:rsid w:val="003F0F05"/>
    <w:rsid w:val="003F1556"/>
    <w:rsid w:val="003F2CA2"/>
    <w:rsid w:val="003F2F92"/>
    <w:rsid w:val="003F3D51"/>
    <w:rsid w:val="003F55E5"/>
    <w:rsid w:val="0040217A"/>
    <w:rsid w:val="00403B9A"/>
    <w:rsid w:val="00403CF1"/>
    <w:rsid w:val="0040463D"/>
    <w:rsid w:val="004047FA"/>
    <w:rsid w:val="004057B2"/>
    <w:rsid w:val="00406FAE"/>
    <w:rsid w:val="004076DA"/>
    <w:rsid w:val="004107D3"/>
    <w:rsid w:val="00411BA6"/>
    <w:rsid w:val="00412C55"/>
    <w:rsid w:val="00413056"/>
    <w:rsid w:val="00414C36"/>
    <w:rsid w:val="004165F6"/>
    <w:rsid w:val="0041724E"/>
    <w:rsid w:val="00420936"/>
    <w:rsid w:val="00420D98"/>
    <w:rsid w:val="00420FAF"/>
    <w:rsid w:val="00421245"/>
    <w:rsid w:val="00421E5E"/>
    <w:rsid w:val="00422A61"/>
    <w:rsid w:val="00422E94"/>
    <w:rsid w:val="004262E2"/>
    <w:rsid w:val="00426329"/>
    <w:rsid w:val="004269A0"/>
    <w:rsid w:val="004270FF"/>
    <w:rsid w:val="004305E5"/>
    <w:rsid w:val="00430BC3"/>
    <w:rsid w:val="00430CCE"/>
    <w:rsid w:val="004312A6"/>
    <w:rsid w:val="00432590"/>
    <w:rsid w:val="00433ED8"/>
    <w:rsid w:val="0043518A"/>
    <w:rsid w:val="00435BAC"/>
    <w:rsid w:val="004373D3"/>
    <w:rsid w:val="004379C0"/>
    <w:rsid w:val="00440A0B"/>
    <w:rsid w:val="00441239"/>
    <w:rsid w:val="0044289A"/>
    <w:rsid w:val="00447198"/>
    <w:rsid w:val="00447575"/>
    <w:rsid w:val="00450F57"/>
    <w:rsid w:val="00453C49"/>
    <w:rsid w:val="00457C8E"/>
    <w:rsid w:val="00457F1F"/>
    <w:rsid w:val="004608F7"/>
    <w:rsid w:val="004611CD"/>
    <w:rsid w:val="00461968"/>
    <w:rsid w:val="00462DA4"/>
    <w:rsid w:val="00463239"/>
    <w:rsid w:val="0046368A"/>
    <w:rsid w:val="004642E1"/>
    <w:rsid w:val="0046471B"/>
    <w:rsid w:val="00464C24"/>
    <w:rsid w:val="00466BFB"/>
    <w:rsid w:val="00471950"/>
    <w:rsid w:val="0047370A"/>
    <w:rsid w:val="00473FC6"/>
    <w:rsid w:val="0047443C"/>
    <w:rsid w:val="00475288"/>
    <w:rsid w:val="00475B9B"/>
    <w:rsid w:val="00475EB5"/>
    <w:rsid w:val="00475F1B"/>
    <w:rsid w:val="00476711"/>
    <w:rsid w:val="0048155D"/>
    <w:rsid w:val="004830A3"/>
    <w:rsid w:val="004832B4"/>
    <w:rsid w:val="004856E0"/>
    <w:rsid w:val="00486F43"/>
    <w:rsid w:val="00487A9D"/>
    <w:rsid w:val="00487B3B"/>
    <w:rsid w:val="004900AF"/>
    <w:rsid w:val="00492036"/>
    <w:rsid w:val="004922FC"/>
    <w:rsid w:val="0049231E"/>
    <w:rsid w:val="00492C67"/>
    <w:rsid w:val="0049530A"/>
    <w:rsid w:val="004954A5"/>
    <w:rsid w:val="004954BB"/>
    <w:rsid w:val="0049590E"/>
    <w:rsid w:val="00495A00"/>
    <w:rsid w:val="00496100"/>
    <w:rsid w:val="004A0914"/>
    <w:rsid w:val="004A0A97"/>
    <w:rsid w:val="004A1249"/>
    <w:rsid w:val="004A13EB"/>
    <w:rsid w:val="004A1EF6"/>
    <w:rsid w:val="004A278A"/>
    <w:rsid w:val="004A4884"/>
    <w:rsid w:val="004A4D20"/>
    <w:rsid w:val="004A4E16"/>
    <w:rsid w:val="004A4F60"/>
    <w:rsid w:val="004A4F98"/>
    <w:rsid w:val="004A5B25"/>
    <w:rsid w:val="004B0AD7"/>
    <w:rsid w:val="004B1BFB"/>
    <w:rsid w:val="004B1C81"/>
    <w:rsid w:val="004B321B"/>
    <w:rsid w:val="004B42B7"/>
    <w:rsid w:val="004B7DF5"/>
    <w:rsid w:val="004C0876"/>
    <w:rsid w:val="004C4BBF"/>
    <w:rsid w:val="004C57A5"/>
    <w:rsid w:val="004D2824"/>
    <w:rsid w:val="004D3A1C"/>
    <w:rsid w:val="004D3F63"/>
    <w:rsid w:val="004D4332"/>
    <w:rsid w:val="004D4648"/>
    <w:rsid w:val="004D5A39"/>
    <w:rsid w:val="004D609D"/>
    <w:rsid w:val="004D6A15"/>
    <w:rsid w:val="004D7404"/>
    <w:rsid w:val="004E0509"/>
    <w:rsid w:val="004E4FA4"/>
    <w:rsid w:val="004E5744"/>
    <w:rsid w:val="004E5B19"/>
    <w:rsid w:val="004E5B8B"/>
    <w:rsid w:val="004E6579"/>
    <w:rsid w:val="004E667D"/>
    <w:rsid w:val="004E7770"/>
    <w:rsid w:val="004F0402"/>
    <w:rsid w:val="004F1400"/>
    <w:rsid w:val="004F17F1"/>
    <w:rsid w:val="004F1DE9"/>
    <w:rsid w:val="004F3374"/>
    <w:rsid w:val="004F45AD"/>
    <w:rsid w:val="004F55F9"/>
    <w:rsid w:val="004F6BFB"/>
    <w:rsid w:val="004F7358"/>
    <w:rsid w:val="0050011E"/>
    <w:rsid w:val="00500704"/>
    <w:rsid w:val="00500A03"/>
    <w:rsid w:val="00500A46"/>
    <w:rsid w:val="005016D5"/>
    <w:rsid w:val="00505206"/>
    <w:rsid w:val="0050788D"/>
    <w:rsid w:val="00510A74"/>
    <w:rsid w:val="005111D3"/>
    <w:rsid w:val="00511884"/>
    <w:rsid w:val="0051209D"/>
    <w:rsid w:val="00512DC8"/>
    <w:rsid w:val="00513C0F"/>
    <w:rsid w:val="00513E89"/>
    <w:rsid w:val="005163E0"/>
    <w:rsid w:val="005174F0"/>
    <w:rsid w:val="00517CAD"/>
    <w:rsid w:val="0052144E"/>
    <w:rsid w:val="00521F26"/>
    <w:rsid w:val="00522B27"/>
    <w:rsid w:val="00522D3C"/>
    <w:rsid w:val="00522E35"/>
    <w:rsid w:val="00523078"/>
    <w:rsid w:val="00523CF1"/>
    <w:rsid w:val="00526436"/>
    <w:rsid w:val="005264F1"/>
    <w:rsid w:val="00526B70"/>
    <w:rsid w:val="00527309"/>
    <w:rsid w:val="00527B09"/>
    <w:rsid w:val="00531776"/>
    <w:rsid w:val="00532F42"/>
    <w:rsid w:val="00533339"/>
    <w:rsid w:val="005349D7"/>
    <w:rsid w:val="00534F94"/>
    <w:rsid w:val="00535FFB"/>
    <w:rsid w:val="00536CF5"/>
    <w:rsid w:val="00536FCE"/>
    <w:rsid w:val="00537E9F"/>
    <w:rsid w:val="00541B1C"/>
    <w:rsid w:val="00541FAB"/>
    <w:rsid w:val="00546F2C"/>
    <w:rsid w:val="00551522"/>
    <w:rsid w:val="005552F8"/>
    <w:rsid w:val="005561EA"/>
    <w:rsid w:val="00556FB8"/>
    <w:rsid w:val="00557305"/>
    <w:rsid w:val="00557F90"/>
    <w:rsid w:val="005601DB"/>
    <w:rsid w:val="00560A10"/>
    <w:rsid w:val="00561B0A"/>
    <w:rsid w:val="00561DCF"/>
    <w:rsid w:val="00563990"/>
    <w:rsid w:val="00567AEA"/>
    <w:rsid w:val="00567F3A"/>
    <w:rsid w:val="0057055B"/>
    <w:rsid w:val="00571380"/>
    <w:rsid w:val="005715CA"/>
    <w:rsid w:val="00572478"/>
    <w:rsid w:val="005738C4"/>
    <w:rsid w:val="00574C3C"/>
    <w:rsid w:val="005755EC"/>
    <w:rsid w:val="00576CAA"/>
    <w:rsid w:val="0057701F"/>
    <w:rsid w:val="00577465"/>
    <w:rsid w:val="00581606"/>
    <w:rsid w:val="00581985"/>
    <w:rsid w:val="00581CBB"/>
    <w:rsid w:val="005842FD"/>
    <w:rsid w:val="0058686D"/>
    <w:rsid w:val="005872C8"/>
    <w:rsid w:val="00587E8F"/>
    <w:rsid w:val="005900DE"/>
    <w:rsid w:val="00590B0B"/>
    <w:rsid w:val="00590E03"/>
    <w:rsid w:val="00590E2C"/>
    <w:rsid w:val="00591BD1"/>
    <w:rsid w:val="005949A6"/>
    <w:rsid w:val="00595FA9"/>
    <w:rsid w:val="00596B3E"/>
    <w:rsid w:val="005A1198"/>
    <w:rsid w:val="005A1763"/>
    <w:rsid w:val="005A4866"/>
    <w:rsid w:val="005A510E"/>
    <w:rsid w:val="005A5392"/>
    <w:rsid w:val="005A5EF6"/>
    <w:rsid w:val="005B0042"/>
    <w:rsid w:val="005B22FE"/>
    <w:rsid w:val="005B3451"/>
    <w:rsid w:val="005B3C2C"/>
    <w:rsid w:val="005B4B9C"/>
    <w:rsid w:val="005B4D92"/>
    <w:rsid w:val="005B5FD2"/>
    <w:rsid w:val="005B6766"/>
    <w:rsid w:val="005B698D"/>
    <w:rsid w:val="005C1001"/>
    <w:rsid w:val="005C183A"/>
    <w:rsid w:val="005C1B11"/>
    <w:rsid w:val="005C26F4"/>
    <w:rsid w:val="005C2A9D"/>
    <w:rsid w:val="005C5270"/>
    <w:rsid w:val="005C5B0E"/>
    <w:rsid w:val="005C5D0D"/>
    <w:rsid w:val="005C7621"/>
    <w:rsid w:val="005D0C18"/>
    <w:rsid w:val="005D2E33"/>
    <w:rsid w:val="005D47D2"/>
    <w:rsid w:val="005D5AAA"/>
    <w:rsid w:val="005D5F56"/>
    <w:rsid w:val="005E0268"/>
    <w:rsid w:val="005E1077"/>
    <w:rsid w:val="005E288D"/>
    <w:rsid w:val="005E2B9B"/>
    <w:rsid w:val="005E30D2"/>
    <w:rsid w:val="005E38BD"/>
    <w:rsid w:val="005E3F4D"/>
    <w:rsid w:val="005E4362"/>
    <w:rsid w:val="005E5A30"/>
    <w:rsid w:val="005E75DF"/>
    <w:rsid w:val="005E76E7"/>
    <w:rsid w:val="005E7AC1"/>
    <w:rsid w:val="005E7DE8"/>
    <w:rsid w:val="005F10A5"/>
    <w:rsid w:val="005F14ED"/>
    <w:rsid w:val="005F1ED1"/>
    <w:rsid w:val="005F2223"/>
    <w:rsid w:val="005F25B1"/>
    <w:rsid w:val="005F3E01"/>
    <w:rsid w:val="005F534D"/>
    <w:rsid w:val="005F54D2"/>
    <w:rsid w:val="005F6468"/>
    <w:rsid w:val="005F6650"/>
    <w:rsid w:val="005F6EAB"/>
    <w:rsid w:val="005F7305"/>
    <w:rsid w:val="00600AE3"/>
    <w:rsid w:val="00606BD3"/>
    <w:rsid w:val="0060761B"/>
    <w:rsid w:val="006104A7"/>
    <w:rsid w:val="00610F97"/>
    <w:rsid w:val="006115E1"/>
    <w:rsid w:val="00611F99"/>
    <w:rsid w:val="00614DC8"/>
    <w:rsid w:val="00614E78"/>
    <w:rsid w:val="00616721"/>
    <w:rsid w:val="00617A5C"/>
    <w:rsid w:val="0062073F"/>
    <w:rsid w:val="00621F7C"/>
    <w:rsid w:val="00622230"/>
    <w:rsid w:val="006230BD"/>
    <w:rsid w:val="00623E68"/>
    <w:rsid w:val="006253D4"/>
    <w:rsid w:val="00626D50"/>
    <w:rsid w:val="00630DB0"/>
    <w:rsid w:val="00630FC1"/>
    <w:rsid w:val="006332C9"/>
    <w:rsid w:val="0063580F"/>
    <w:rsid w:val="00635926"/>
    <w:rsid w:val="006418E8"/>
    <w:rsid w:val="0064223A"/>
    <w:rsid w:val="006424E0"/>
    <w:rsid w:val="00642E27"/>
    <w:rsid w:val="00644EF5"/>
    <w:rsid w:val="00645492"/>
    <w:rsid w:val="00645CDD"/>
    <w:rsid w:val="0064713D"/>
    <w:rsid w:val="0065004E"/>
    <w:rsid w:val="00650ADE"/>
    <w:rsid w:val="006526D5"/>
    <w:rsid w:val="00654799"/>
    <w:rsid w:val="006560E9"/>
    <w:rsid w:val="00656181"/>
    <w:rsid w:val="00657A38"/>
    <w:rsid w:val="00661456"/>
    <w:rsid w:val="00662A8E"/>
    <w:rsid w:val="00662C7F"/>
    <w:rsid w:val="00663869"/>
    <w:rsid w:val="006639FF"/>
    <w:rsid w:val="006640DC"/>
    <w:rsid w:val="0066763E"/>
    <w:rsid w:val="00670727"/>
    <w:rsid w:val="00672BC2"/>
    <w:rsid w:val="00673CFA"/>
    <w:rsid w:val="00675612"/>
    <w:rsid w:val="00676EB1"/>
    <w:rsid w:val="00677F7E"/>
    <w:rsid w:val="00681F00"/>
    <w:rsid w:val="00682E47"/>
    <w:rsid w:val="006839B9"/>
    <w:rsid w:val="0068441A"/>
    <w:rsid w:val="006873BE"/>
    <w:rsid w:val="0069142D"/>
    <w:rsid w:val="006917DD"/>
    <w:rsid w:val="00692C3B"/>
    <w:rsid w:val="00693CB6"/>
    <w:rsid w:val="00694085"/>
    <w:rsid w:val="006942EE"/>
    <w:rsid w:val="006954F6"/>
    <w:rsid w:val="0069562B"/>
    <w:rsid w:val="006A05A5"/>
    <w:rsid w:val="006A4CF3"/>
    <w:rsid w:val="006A6726"/>
    <w:rsid w:val="006B090B"/>
    <w:rsid w:val="006B0916"/>
    <w:rsid w:val="006B1746"/>
    <w:rsid w:val="006B37D7"/>
    <w:rsid w:val="006B576B"/>
    <w:rsid w:val="006B5850"/>
    <w:rsid w:val="006B596E"/>
    <w:rsid w:val="006B653A"/>
    <w:rsid w:val="006B7703"/>
    <w:rsid w:val="006C1134"/>
    <w:rsid w:val="006C1470"/>
    <w:rsid w:val="006C1C19"/>
    <w:rsid w:val="006C48D9"/>
    <w:rsid w:val="006C7F27"/>
    <w:rsid w:val="006D2B49"/>
    <w:rsid w:val="006D2B7A"/>
    <w:rsid w:val="006D30AB"/>
    <w:rsid w:val="006D3726"/>
    <w:rsid w:val="006D41F0"/>
    <w:rsid w:val="006D4F2C"/>
    <w:rsid w:val="006D6600"/>
    <w:rsid w:val="006D7B57"/>
    <w:rsid w:val="006E33FC"/>
    <w:rsid w:val="006E35F2"/>
    <w:rsid w:val="006E4B0E"/>
    <w:rsid w:val="006E596A"/>
    <w:rsid w:val="006E7EC7"/>
    <w:rsid w:val="006F0B05"/>
    <w:rsid w:val="006F2A59"/>
    <w:rsid w:val="006F2C45"/>
    <w:rsid w:val="006F3DF4"/>
    <w:rsid w:val="006F538C"/>
    <w:rsid w:val="006F5DAF"/>
    <w:rsid w:val="00701A09"/>
    <w:rsid w:val="007023CF"/>
    <w:rsid w:val="00702436"/>
    <w:rsid w:val="00702A83"/>
    <w:rsid w:val="00702B2B"/>
    <w:rsid w:val="00705CEF"/>
    <w:rsid w:val="007100D3"/>
    <w:rsid w:val="00710559"/>
    <w:rsid w:val="0071079A"/>
    <w:rsid w:val="007118CE"/>
    <w:rsid w:val="0071322E"/>
    <w:rsid w:val="007146BD"/>
    <w:rsid w:val="00714CD8"/>
    <w:rsid w:val="00715627"/>
    <w:rsid w:val="00715B1A"/>
    <w:rsid w:val="00715B23"/>
    <w:rsid w:val="00716CE1"/>
    <w:rsid w:val="00721AB0"/>
    <w:rsid w:val="00723767"/>
    <w:rsid w:val="007269D4"/>
    <w:rsid w:val="0073150A"/>
    <w:rsid w:val="00732463"/>
    <w:rsid w:val="00734F18"/>
    <w:rsid w:val="00735508"/>
    <w:rsid w:val="007368FD"/>
    <w:rsid w:val="0073753E"/>
    <w:rsid w:val="00741864"/>
    <w:rsid w:val="007418D5"/>
    <w:rsid w:val="00741DD7"/>
    <w:rsid w:val="00742417"/>
    <w:rsid w:val="007459DF"/>
    <w:rsid w:val="00745A5B"/>
    <w:rsid w:val="00745E1A"/>
    <w:rsid w:val="00746527"/>
    <w:rsid w:val="007474F3"/>
    <w:rsid w:val="00747B21"/>
    <w:rsid w:val="00747F1A"/>
    <w:rsid w:val="00752809"/>
    <w:rsid w:val="0075532A"/>
    <w:rsid w:val="00757F72"/>
    <w:rsid w:val="007606CC"/>
    <w:rsid w:val="0076111C"/>
    <w:rsid w:val="007613CD"/>
    <w:rsid w:val="00762647"/>
    <w:rsid w:val="00762E5C"/>
    <w:rsid w:val="00764B7F"/>
    <w:rsid w:val="00765B4D"/>
    <w:rsid w:val="00766406"/>
    <w:rsid w:val="00766E04"/>
    <w:rsid w:val="00767CD4"/>
    <w:rsid w:val="0077094F"/>
    <w:rsid w:val="007709B6"/>
    <w:rsid w:val="007725C8"/>
    <w:rsid w:val="00772728"/>
    <w:rsid w:val="00773E51"/>
    <w:rsid w:val="00774209"/>
    <w:rsid w:val="00774441"/>
    <w:rsid w:val="00775B22"/>
    <w:rsid w:val="00776ADE"/>
    <w:rsid w:val="00777511"/>
    <w:rsid w:val="00780AB9"/>
    <w:rsid w:val="00782C76"/>
    <w:rsid w:val="00782F64"/>
    <w:rsid w:val="00784C71"/>
    <w:rsid w:val="0079098F"/>
    <w:rsid w:val="00790D34"/>
    <w:rsid w:val="007911CC"/>
    <w:rsid w:val="00791578"/>
    <w:rsid w:val="007926D6"/>
    <w:rsid w:val="0079282C"/>
    <w:rsid w:val="007929EF"/>
    <w:rsid w:val="0079471D"/>
    <w:rsid w:val="00794851"/>
    <w:rsid w:val="0079623B"/>
    <w:rsid w:val="00797C5A"/>
    <w:rsid w:val="007A2366"/>
    <w:rsid w:val="007A32C5"/>
    <w:rsid w:val="007A3482"/>
    <w:rsid w:val="007A3F2C"/>
    <w:rsid w:val="007A571A"/>
    <w:rsid w:val="007A5A13"/>
    <w:rsid w:val="007A6304"/>
    <w:rsid w:val="007A67F3"/>
    <w:rsid w:val="007A7F4E"/>
    <w:rsid w:val="007B00E3"/>
    <w:rsid w:val="007B0A96"/>
    <w:rsid w:val="007B4338"/>
    <w:rsid w:val="007B486D"/>
    <w:rsid w:val="007B5116"/>
    <w:rsid w:val="007B789D"/>
    <w:rsid w:val="007B7A7A"/>
    <w:rsid w:val="007C1393"/>
    <w:rsid w:val="007C4271"/>
    <w:rsid w:val="007C45B2"/>
    <w:rsid w:val="007C5EBB"/>
    <w:rsid w:val="007C61A6"/>
    <w:rsid w:val="007D0533"/>
    <w:rsid w:val="007D054D"/>
    <w:rsid w:val="007D086B"/>
    <w:rsid w:val="007D0EF6"/>
    <w:rsid w:val="007D10D7"/>
    <w:rsid w:val="007D141A"/>
    <w:rsid w:val="007D1BA8"/>
    <w:rsid w:val="007D1EB5"/>
    <w:rsid w:val="007D443F"/>
    <w:rsid w:val="007D4700"/>
    <w:rsid w:val="007D54B8"/>
    <w:rsid w:val="007D6B6D"/>
    <w:rsid w:val="007D7322"/>
    <w:rsid w:val="007D7848"/>
    <w:rsid w:val="007E0DE9"/>
    <w:rsid w:val="007E0E24"/>
    <w:rsid w:val="007E1245"/>
    <w:rsid w:val="007E383F"/>
    <w:rsid w:val="007E48AD"/>
    <w:rsid w:val="007E5B7F"/>
    <w:rsid w:val="007E5E16"/>
    <w:rsid w:val="007E66F6"/>
    <w:rsid w:val="007E73E2"/>
    <w:rsid w:val="007E762C"/>
    <w:rsid w:val="007F26E6"/>
    <w:rsid w:val="007F2729"/>
    <w:rsid w:val="007F536C"/>
    <w:rsid w:val="007F592F"/>
    <w:rsid w:val="007F7C69"/>
    <w:rsid w:val="007F7D5B"/>
    <w:rsid w:val="008005BE"/>
    <w:rsid w:val="00803DC4"/>
    <w:rsid w:val="00804572"/>
    <w:rsid w:val="00804A7C"/>
    <w:rsid w:val="00805227"/>
    <w:rsid w:val="00806441"/>
    <w:rsid w:val="008122CB"/>
    <w:rsid w:val="00813498"/>
    <w:rsid w:val="00815B99"/>
    <w:rsid w:val="008163F3"/>
    <w:rsid w:val="00816FB5"/>
    <w:rsid w:val="00817E20"/>
    <w:rsid w:val="0082010E"/>
    <w:rsid w:val="008208FF"/>
    <w:rsid w:val="008228AB"/>
    <w:rsid w:val="0082375B"/>
    <w:rsid w:val="00827930"/>
    <w:rsid w:val="00832142"/>
    <w:rsid w:val="00833A8B"/>
    <w:rsid w:val="00833B3B"/>
    <w:rsid w:val="00834912"/>
    <w:rsid w:val="00834E0C"/>
    <w:rsid w:val="00836B79"/>
    <w:rsid w:val="008400D1"/>
    <w:rsid w:val="00840206"/>
    <w:rsid w:val="008409DC"/>
    <w:rsid w:val="00842C58"/>
    <w:rsid w:val="00842ED2"/>
    <w:rsid w:val="00843085"/>
    <w:rsid w:val="0084315C"/>
    <w:rsid w:val="00843EC0"/>
    <w:rsid w:val="00843F1C"/>
    <w:rsid w:val="00846858"/>
    <w:rsid w:val="00847105"/>
    <w:rsid w:val="00850822"/>
    <w:rsid w:val="0085160A"/>
    <w:rsid w:val="008516AC"/>
    <w:rsid w:val="00851B71"/>
    <w:rsid w:val="008523F5"/>
    <w:rsid w:val="008533D8"/>
    <w:rsid w:val="0085383B"/>
    <w:rsid w:val="00854C35"/>
    <w:rsid w:val="0086050B"/>
    <w:rsid w:val="0086143D"/>
    <w:rsid w:val="00861F1E"/>
    <w:rsid w:val="00862375"/>
    <w:rsid w:val="008637B6"/>
    <w:rsid w:val="0086521A"/>
    <w:rsid w:val="00865F66"/>
    <w:rsid w:val="00867287"/>
    <w:rsid w:val="008721D5"/>
    <w:rsid w:val="00872322"/>
    <w:rsid w:val="00872346"/>
    <w:rsid w:val="00872A03"/>
    <w:rsid w:val="00874758"/>
    <w:rsid w:val="00875B96"/>
    <w:rsid w:val="00876546"/>
    <w:rsid w:val="0088036D"/>
    <w:rsid w:val="00880672"/>
    <w:rsid w:val="00880852"/>
    <w:rsid w:val="0088087E"/>
    <w:rsid w:val="00881031"/>
    <w:rsid w:val="00885BF8"/>
    <w:rsid w:val="00885CE3"/>
    <w:rsid w:val="00886766"/>
    <w:rsid w:val="00886A78"/>
    <w:rsid w:val="00886F4B"/>
    <w:rsid w:val="008924A3"/>
    <w:rsid w:val="00895420"/>
    <w:rsid w:val="00895584"/>
    <w:rsid w:val="008968CA"/>
    <w:rsid w:val="00896F89"/>
    <w:rsid w:val="008A30DD"/>
    <w:rsid w:val="008A5B27"/>
    <w:rsid w:val="008A5DC9"/>
    <w:rsid w:val="008A5ECC"/>
    <w:rsid w:val="008B0873"/>
    <w:rsid w:val="008B15D2"/>
    <w:rsid w:val="008B583F"/>
    <w:rsid w:val="008B7D26"/>
    <w:rsid w:val="008C00CA"/>
    <w:rsid w:val="008C09CD"/>
    <w:rsid w:val="008C1DB6"/>
    <w:rsid w:val="008C236B"/>
    <w:rsid w:val="008C3489"/>
    <w:rsid w:val="008C7494"/>
    <w:rsid w:val="008C787F"/>
    <w:rsid w:val="008C7974"/>
    <w:rsid w:val="008D0479"/>
    <w:rsid w:val="008D1BE4"/>
    <w:rsid w:val="008D2146"/>
    <w:rsid w:val="008D31B7"/>
    <w:rsid w:val="008D763C"/>
    <w:rsid w:val="008E0899"/>
    <w:rsid w:val="008E09FA"/>
    <w:rsid w:val="008E13FD"/>
    <w:rsid w:val="008E1664"/>
    <w:rsid w:val="008E1901"/>
    <w:rsid w:val="008E2557"/>
    <w:rsid w:val="008E3917"/>
    <w:rsid w:val="008E4A30"/>
    <w:rsid w:val="008E5B17"/>
    <w:rsid w:val="008E6517"/>
    <w:rsid w:val="008E6AA3"/>
    <w:rsid w:val="008E7BF0"/>
    <w:rsid w:val="008F1732"/>
    <w:rsid w:val="008F173D"/>
    <w:rsid w:val="008F3B47"/>
    <w:rsid w:val="008F4243"/>
    <w:rsid w:val="008F4273"/>
    <w:rsid w:val="008F4414"/>
    <w:rsid w:val="008F5BCC"/>
    <w:rsid w:val="008F63E3"/>
    <w:rsid w:val="008F6E7D"/>
    <w:rsid w:val="008F736F"/>
    <w:rsid w:val="009001D6"/>
    <w:rsid w:val="009004CF"/>
    <w:rsid w:val="00901061"/>
    <w:rsid w:val="009010F0"/>
    <w:rsid w:val="00901AEB"/>
    <w:rsid w:val="0090295E"/>
    <w:rsid w:val="0090333C"/>
    <w:rsid w:val="00904008"/>
    <w:rsid w:val="009042FC"/>
    <w:rsid w:val="00906907"/>
    <w:rsid w:val="00911A02"/>
    <w:rsid w:val="00913636"/>
    <w:rsid w:val="00915794"/>
    <w:rsid w:val="00915F93"/>
    <w:rsid w:val="00916A08"/>
    <w:rsid w:val="00916CF9"/>
    <w:rsid w:val="009208EC"/>
    <w:rsid w:val="009229EF"/>
    <w:rsid w:val="00923C8C"/>
    <w:rsid w:val="0092452D"/>
    <w:rsid w:val="00924C8D"/>
    <w:rsid w:val="00925447"/>
    <w:rsid w:val="00926469"/>
    <w:rsid w:val="0092743A"/>
    <w:rsid w:val="00927FD3"/>
    <w:rsid w:val="00931633"/>
    <w:rsid w:val="0093191B"/>
    <w:rsid w:val="00932653"/>
    <w:rsid w:val="0093329D"/>
    <w:rsid w:val="009332EF"/>
    <w:rsid w:val="0093418F"/>
    <w:rsid w:val="00941BA2"/>
    <w:rsid w:val="009424CF"/>
    <w:rsid w:val="009430F2"/>
    <w:rsid w:val="009438B8"/>
    <w:rsid w:val="009479BE"/>
    <w:rsid w:val="009509B8"/>
    <w:rsid w:val="00950AEF"/>
    <w:rsid w:val="00951FD9"/>
    <w:rsid w:val="00952049"/>
    <w:rsid w:val="00953EF7"/>
    <w:rsid w:val="009549E6"/>
    <w:rsid w:val="009564E1"/>
    <w:rsid w:val="009568E7"/>
    <w:rsid w:val="0095690F"/>
    <w:rsid w:val="00956E19"/>
    <w:rsid w:val="0096512D"/>
    <w:rsid w:val="00965B30"/>
    <w:rsid w:val="009660CE"/>
    <w:rsid w:val="0096687E"/>
    <w:rsid w:val="009679FA"/>
    <w:rsid w:val="00967DDF"/>
    <w:rsid w:val="00967DFB"/>
    <w:rsid w:val="00970149"/>
    <w:rsid w:val="009715C4"/>
    <w:rsid w:val="009719AE"/>
    <w:rsid w:val="00972D93"/>
    <w:rsid w:val="00975ED8"/>
    <w:rsid w:val="00976672"/>
    <w:rsid w:val="009769A7"/>
    <w:rsid w:val="00976C07"/>
    <w:rsid w:val="00977BAF"/>
    <w:rsid w:val="009808FA"/>
    <w:rsid w:val="009838A0"/>
    <w:rsid w:val="00986A21"/>
    <w:rsid w:val="0098712A"/>
    <w:rsid w:val="009877B0"/>
    <w:rsid w:val="009903EF"/>
    <w:rsid w:val="00991634"/>
    <w:rsid w:val="00991BEB"/>
    <w:rsid w:val="00991DA9"/>
    <w:rsid w:val="00991E72"/>
    <w:rsid w:val="009921C6"/>
    <w:rsid w:val="00993619"/>
    <w:rsid w:val="00993A04"/>
    <w:rsid w:val="00995951"/>
    <w:rsid w:val="009977F9"/>
    <w:rsid w:val="009978B5"/>
    <w:rsid w:val="009A03B8"/>
    <w:rsid w:val="009A45E8"/>
    <w:rsid w:val="009A4974"/>
    <w:rsid w:val="009A5C19"/>
    <w:rsid w:val="009A6C27"/>
    <w:rsid w:val="009A7423"/>
    <w:rsid w:val="009A7E17"/>
    <w:rsid w:val="009A7E5C"/>
    <w:rsid w:val="009B06F1"/>
    <w:rsid w:val="009B090C"/>
    <w:rsid w:val="009B2028"/>
    <w:rsid w:val="009B2CBF"/>
    <w:rsid w:val="009B4558"/>
    <w:rsid w:val="009B5812"/>
    <w:rsid w:val="009B60B6"/>
    <w:rsid w:val="009B7038"/>
    <w:rsid w:val="009B787C"/>
    <w:rsid w:val="009B7936"/>
    <w:rsid w:val="009B7A3B"/>
    <w:rsid w:val="009C09AE"/>
    <w:rsid w:val="009C16FF"/>
    <w:rsid w:val="009C3727"/>
    <w:rsid w:val="009C42C5"/>
    <w:rsid w:val="009C5040"/>
    <w:rsid w:val="009C63D9"/>
    <w:rsid w:val="009C68D8"/>
    <w:rsid w:val="009C6F2D"/>
    <w:rsid w:val="009D1596"/>
    <w:rsid w:val="009D2AE3"/>
    <w:rsid w:val="009D3121"/>
    <w:rsid w:val="009D7A3A"/>
    <w:rsid w:val="009E18ED"/>
    <w:rsid w:val="009E28E0"/>
    <w:rsid w:val="009E34EF"/>
    <w:rsid w:val="009E585F"/>
    <w:rsid w:val="009E5B86"/>
    <w:rsid w:val="009E5D7F"/>
    <w:rsid w:val="009E6D99"/>
    <w:rsid w:val="009E6F61"/>
    <w:rsid w:val="009F11EF"/>
    <w:rsid w:val="009F2329"/>
    <w:rsid w:val="009F248E"/>
    <w:rsid w:val="009F4A64"/>
    <w:rsid w:val="00A01085"/>
    <w:rsid w:val="00A01177"/>
    <w:rsid w:val="00A01A8C"/>
    <w:rsid w:val="00A02042"/>
    <w:rsid w:val="00A028B5"/>
    <w:rsid w:val="00A070BC"/>
    <w:rsid w:val="00A07975"/>
    <w:rsid w:val="00A07B45"/>
    <w:rsid w:val="00A107D4"/>
    <w:rsid w:val="00A11843"/>
    <w:rsid w:val="00A12A42"/>
    <w:rsid w:val="00A1391B"/>
    <w:rsid w:val="00A13D75"/>
    <w:rsid w:val="00A13DD0"/>
    <w:rsid w:val="00A140A6"/>
    <w:rsid w:val="00A16261"/>
    <w:rsid w:val="00A16782"/>
    <w:rsid w:val="00A16FBE"/>
    <w:rsid w:val="00A20259"/>
    <w:rsid w:val="00A20D0B"/>
    <w:rsid w:val="00A20F61"/>
    <w:rsid w:val="00A21E1D"/>
    <w:rsid w:val="00A21E82"/>
    <w:rsid w:val="00A25713"/>
    <w:rsid w:val="00A25F67"/>
    <w:rsid w:val="00A265DD"/>
    <w:rsid w:val="00A2673C"/>
    <w:rsid w:val="00A30D7E"/>
    <w:rsid w:val="00A311D2"/>
    <w:rsid w:val="00A31FB1"/>
    <w:rsid w:val="00A325DC"/>
    <w:rsid w:val="00A33EBB"/>
    <w:rsid w:val="00A35281"/>
    <w:rsid w:val="00A3684C"/>
    <w:rsid w:val="00A36B00"/>
    <w:rsid w:val="00A37467"/>
    <w:rsid w:val="00A401FA"/>
    <w:rsid w:val="00A418CA"/>
    <w:rsid w:val="00A41DCD"/>
    <w:rsid w:val="00A41EF5"/>
    <w:rsid w:val="00A43872"/>
    <w:rsid w:val="00A44ED6"/>
    <w:rsid w:val="00A4520E"/>
    <w:rsid w:val="00A46CC6"/>
    <w:rsid w:val="00A50B63"/>
    <w:rsid w:val="00A52717"/>
    <w:rsid w:val="00A52791"/>
    <w:rsid w:val="00A54240"/>
    <w:rsid w:val="00A559E1"/>
    <w:rsid w:val="00A5664B"/>
    <w:rsid w:val="00A575D7"/>
    <w:rsid w:val="00A57DCD"/>
    <w:rsid w:val="00A57F45"/>
    <w:rsid w:val="00A616EA"/>
    <w:rsid w:val="00A61B74"/>
    <w:rsid w:val="00A6223B"/>
    <w:rsid w:val="00A62855"/>
    <w:rsid w:val="00A64281"/>
    <w:rsid w:val="00A6430F"/>
    <w:rsid w:val="00A65A52"/>
    <w:rsid w:val="00A66DD8"/>
    <w:rsid w:val="00A70027"/>
    <w:rsid w:val="00A729F0"/>
    <w:rsid w:val="00A75781"/>
    <w:rsid w:val="00A765FB"/>
    <w:rsid w:val="00A80765"/>
    <w:rsid w:val="00A82256"/>
    <w:rsid w:val="00A82C78"/>
    <w:rsid w:val="00A82F9A"/>
    <w:rsid w:val="00A8303D"/>
    <w:rsid w:val="00A84634"/>
    <w:rsid w:val="00A85911"/>
    <w:rsid w:val="00A86B89"/>
    <w:rsid w:val="00A873D1"/>
    <w:rsid w:val="00A927A3"/>
    <w:rsid w:val="00A93A7F"/>
    <w:rsid w:val="00A955C9"/>
    <w:rsid w:val="00A966B5"/>
    <w:rsid w:val="00A967F4"/>
    <w:rsid w:val="00A978BC"/>
    <w:rsid w:val="00A97E30"/>
    <w:rsid w:val="00AA084A"/>
    <w:rsid w:val="00AA2668"/>
    <w:rsid w:val="00AA28D9"/>
    <w:rsid w:val="00AA2F0E"/>
    <w:rsid w:val="00AA38BD"/>
    <w:rsid w:val="00AA537D"/>
    <w:rsid w:val="00AA6F1B"/>
    <w:rsid w:val="00AB50A4"/>
    <w:rsid w:val="00AB54AC"/>
    <w:rsid w:val="00AB57BA"/>
    <w:rsid w:val="00AB5A37"/>
    <w:rsid w:val="00AB5A3D"/>
    <w:rsid w:val="00AB648A"/>
    <w:rsid w:val="00AB6B7C"/>
    <w:rsid w:val="00AB7476"/>
    <w:rsid w:val="00AC2C10"/>
    <w:rsid w:val="00AC3DE3"/>
    <w:rsid w:val="00AC4439"/>
    <w:rsid w:val="00AC5998"/>
    <w:rsid w:val="00AC71E2"/>
    <w:rsid w:val="00AC76A9"/>
    <w:rsid w:val="00AD01A0"/>
    <w:rsid w:val="00AD073E"/>
    <w:rsid w:val="00AD0BDC"/>
    <w:rsid w:val="00AD2366"/>
    <w:rsid w:val="00AD5B77"/>
    <w:rsid w:val="00AD5ECF"/>
    <w:rsid w:val="00AD601B"/>
    <w:rsid w:val="00AD7345"/>
    <w:rsid w:val="00AE1E87"/>
    <w:rsid w:val="00AE39A2"/>
    <w:rsid w:val="00AE3F52"/>
    <w:rsid w:val="00AE3FF9"/>
    <w:rsid w:val="00AE61B8"/>
    <w:rsid w:val="00AE64D7"/>
    <w:rsid w:val="00AE6C50"/>
    <w:rsid w:val="00AE72CE"/>
    <w:rsid w:val="00AF003A"/>
    <w:rsid w:val="00AF0D18"/>
    <w:rsid w:val="00AF1374"/>
    <w:rsid w:val="00AF1940"/>
    <w:rsid w:val="00AF328F"/>
    <w:rsid w:val="00AF5A95"/>
    <w:rsid w:val="00AF6346"/>
    <w:rsid w:val="00AF77F4"/>
    <w:rsid w:val="00B0008F"/>
    <w:rsid w:val="00B00506"/>
    <w:rsid w:val="00B0071E"/>
    <w:rsid w:val="00B019C5"/>
    <w:rsid w:val="00B01DAC"/>
    <w:rsid w:val="00B02DB2"/>
    <w:rsid w:val="00B04277"/>
    <w:rsid w:val="00B04576"/>
    <w:rsid w:val="00B04C15"/>
    <w:rsid w:val="00B05189"/>
    <w:rsid w:val="00B060A9"/>
    <w:rsid w:val="00B071D2"/>
    <w:rsid w:val="00B11D8F"/>
    <w:rsid w:val="00B12BB5"/>
    <w:rsid w:val="00B14715"/>
    <w:rsid w:val="00B15382"/>
    <w:rsid w:val="00B15CA1"/>
    <w:rsid w:val="00B16A03"/>
    <w:rsid w:val="00B17077"/>
    <w:rsid w:val="00B17865"/>
    <w:rsid w:val="00B22417"/>
    <w:rsid w:val="00B23081"/>
    <w:rsid w:val="00B25592"/>
    <w:rsid w:val="00B267D0"/>
    <w:rsid w:val="00B301E3"/>
    <w:rsid w:val="00B3034C"/>
    <w:rsid w:val="00B3100C"/>
    <w:rsid w:val="00B31B24"/>
    <w:rsid w:val="00B33A23"/>
    <w:rsid w:val="00B358A3"/>
    <w:rsid w:val="00B377CA"/>
    <w:rsid w:val="00B37FB8"/>
    <w:rsid w:val="00B41487"/>
    <w:rsid w:val="00B433A8"/>
    <w:rsid w:val="00B43709"/>
    <w:rsid w:val="00B43EE2"/>
    <w:rsid w:val="00B4665E"/>
    <w:rsid w:val="00B47A12"/>
    <w:rsid w:val="00B515B2"/>
    <w:rsid w:val="00B51CCE"/>
    <w:rsid w:val="00B52222"/>
    <w:rsid w:val="00B53B77"/>
    <w:rsid w:val="00B53E0E"/>
    <w:rsid w:val="00B5400C"/>
    <w:rsid w:val="00B54620"/>
    <w:rsid w:val="00B56064"/>
    <w:rsid w:val="00B57517"/>
    <w:rsid w:val="00B5781A"/>
    <w:rsid w:val="00B60D4B"/>
    <w:rsid w:val="00B61064"/>
    <w:rsid w:val="00B61658"/>
    <w:rsid w:val="00B62130"/>
    <w:rsid w:val="00B62340"/>
    <w:rsid w:val="00B623F1"/>
    <w:rsid w:val="00B631BD"/>
    <w:rsid w:val="00B650A2"/>
    <w:rsid w:val="00B6748B"/>
    <w:rsid w:val="00B70D5F"/>
    <w:rsid w:val="00B70E82"/>
    <w:rsid w:val="00B71457"/>
    <w:rsid w:val="00B714D8"/>
    <w:rsid w:val="00B71ED5"/>
    <w:rsid w:val="00B744D2"/>
    <w:rsid w:val="00B74B8B"/>
    <w:rsid w:val="00B7686E"/>
    <w:rsid w:val="00B77394"/>
    <w:rsid w:val="00B80A00"/>
    <w:rsid w:val="00B81BE4"/>
    <w:rsid w:val="00B8325C"/>
    <w:rsid w:val="00B8399E"/>
    <w:rsid w:val="00B83FA2"/>
    <w:rsid w:val="00B84186"/>
    <w:rsid w:val="00B86602"/>
    <w:rsid w:val="00B90755"/>
    <w:rsid w:val="00B916FB"/>
    <w:rsid w:val="00B9383C"/>
    <w:rsid w:val="00B94152"/>
    <w:rsid w:val="00B94740"/>
    <w:rsid w:val="00B95515"/>
    <w:rsid w:val="00B956A3"/>
    <w:rsid w:val="00B960A1"/>
    <w:rsid w:val="00B96F8E"/>
    <w:rsid w:val="00B97105"/>
    <w:rsid w:val="00B971C7"/>
    <w:rsid w:val="00B9744D"/>
    <w:rsid w:val="00BA02A7"/>
    <w:rsid w:val="00BA1C55"/>
    <w:rsid w:val="00BA1FFE"/>
    <w:rsid w:val="00BA2A84"/>
    <w:rsid w:val="00BA2AEA"/>
    <w:rsid w:val="00BA2F2F"/>
    <w:rsid w:val="00BA3D3A"/>
    <w:rsid w:val="00BA6416"/>
    <w:rsid w:val="00BA6ACB"/>
    <w:rsid w:val="00BB0CB2"/>
    <w:rsid w:val="00BB1889"/>
    <w:rsid w:val="00BB1D65"/>
    <w:rsid w:val="00BB26FB"/>
    <w:rsid w:val="00BB308C"/>
    <w:rsid w:val="00BB5212"/>
    <w:rsid w:val="00BB6CF0"/>
    <w:rsid w:val="00BC0460"/>
    <w:rsid w:val="00BC0C3E"/>
    <w:rsid w:val="00BC0EE6"/>
    <w:rsid w:val="00BC11DC"/>
    <w:rsid w:val="00BC58F2"/>
    <w:rsid w:val="00BC59F1"/>
    <w:rsid w:val="00BD04DA"/>
    <w:rsid w:val="00BD201E"/>
    <w:rsid w:val="00BD467D"/>
    <w:rsid w:val="00BD5A96"/>
    <w:rsid w:val="00BD5CCA"/>
    <w:rsid w:val="00BD6CF3"/>
    <w:rsid w:val="00BD7983"/>
    <w:rsid w:val="00BD7FB6"/>
    <w:rsid w:val="00BE0431"/>
    <w:rsid w:val="00BE0C91"/>
    <w:rsid w:val="00BE2ACF"/>
    <w:rsid w:val="00BE40A0"/>
    <w:rsid w:val="00BE420A"/>
    <w:rsid w:val="00BE4320"/>
    <w:rsid w:val="00BE43D8"/>
    <w:rsid w:val="00BE5D41"/>
    <w:rsid w:val="00BE5DCF"/>
    <w:rsid w:val="00BE61E3"/>
    <w:rsid w:val="00BE6317"/>
    <w:rsid w:val="00BE728A"/>
    <w:rsid w:val="00BF1453"/>
    <w:rsid w:val="00BF2564"/>
    <w:rsid w:val="00BF431F"/>
    <w:rsid w:val="00BF71C6"/>
    <w:rsid w:val="00C00A50"/>
    <w:rsid w:val="00C017C3"/>
    <w:rsid w:val="00C025EB"/>
    <w:rsid w:val="00C03FC1"/>
    <w:rsid w:val="00C06E35"/>
    <w:rsid w:val="00C06FB1"/>
    <w:rsid w:val="00C10318"/>
    <w:rsid w:val="00C1263B"/>
    <w:rsid w:val="00C16993"/>
    <w:rsid w:val="00C17BA1"/>
    <w:rsid w:val="00C21435"/>
    <w:rsid w:val="00C22572"/>
    <w:rsid w:val="00C22AF5"/>
    <w:rsid w:val="00C23196"/>
    <w:rsid w:val="00C24B99"/>
    <w:rsid w:val="00C25E47"/>
    <w:rsid w:val="00C30FE4"/>
    <w:rsid w:val="00C310FB"/>
    <w:rsid w:val="00C32425"/>
    <w:rsid w:val="00C32853"/>
    <w:rsid w:val="00C36887"/>
    <w:rsid w:val="00C37A70"/>
    <w:rsid w:val="00C401B9"/>
    <w:rsid w:val="00C41864"/>
    <w:rsid w:val="00C446A4"/>
    <w:rsid w:val="00C458C6"/>
    <w:rsid w:val="00C45989"/>
    <w:rsid w:val="00C46A4B"/>
    <w:rsid w:val="00C46A90"/>
    <w:rsid w:val="00C50445"/>
    <w:rsid w:val="00C542DF"/>
    <w:rsid w:val="00C54F29"/>
    <w:rsid w:val="00C553E0"/>
    <w:rsid w:val="00C55E4D"/>
    <w:rsid w:val="00C564BA"/>
    <w:rsid w:val="00C5738B"/>
    <w:rsid w:val="00C61706"/>
    <w:rsid w:val="00C6180D"/>
    <w:rsid w:val="00C625BC"/>
    <w:rsid w:val="00C6301B"/>
    <w:rsid w:val="00C642B8"/>
    <w:rsid w:val="00C649C8"/>
    <w:rsid w:val="00C64B8E"/>
    <w:rsid w:val="00C65065"/>
    <w:rsid w:val="00C654C3"/>
    <w:rsid w:val="00C65C62"/>
    <w:rsid w:val="00C65D84"/>
    <w:rsid w:val="00C66BD8"/>
    <w:rsid w:val="00C66D44"/>
    <w:rsid w:val="00C6796D"/>
    <w:rsid w:val="00C7025B"/>
    <w:rsid w:val="00C70294"/>
    <w:rsid w:val="00C7064D"/>
    <w:rsid w:val="00C70D8E"/>
    <w:rsid w:val="00C72678"/>
    <w:rsid w:val="00C73A0E"/>
    <w:rsid w:val="00C741A1"/>
    <w:rsid w:val="00C754B3"/>
    <w:rsid w:val="00C76BF3"/>
    <w:rsid w:val="00C77F7F"/>
    <w:rsid w:val="00C80856"/>
    <w:rsid w:val="00C80BC6"/>
    <w:rsid w:val="00C80F99"/>
    <w:rsid w:val="00C82E3B"/>
    <w:rsid w:val="00C8494C"/>
    <w:rsid w:val="00C85795"/>
    <w:rsid w:val="00C860A5"/>
    <w:rsid w:val="00C86FE7"/>
    <w:rsid w:val="00C8781D"/>
    <w:rsid w:val="00C90ACE"/>
    <w:rsid w:val="00C92056"/>
    <w:rsid w:val="00C9295F"/>
    <w:rsid w:val="00C937F0"/>
    <w:rsid w:val="00C94E9B"/>
    <w:rsid w:val="00C94E9D"/>
    <w:rsid w:val="00C9697D"/>
    <w:rsid w:val="00C96E91"/>
    <w:rsid w:val="00C9733F"/>
    <w:rsid w:val="00CA17A0"/>
    <w:rsid w:val="00CA4DED"/>
    <w:rsid w:val="00CA4FCF"/>
    <w:rsid w:val="00CA63E8"/>
    <w:rsid w:val="00CA6E7A"/>
    <w:rsid w:val="00CA7272"/>
    <w:rsid w:val="00CA72F5"/>
    <w:rsid w:val="00CB1005"/>
    <w:rsid w:val="00CB1818"/>
    <w:rsid w:val="00CB3E2E"/>
    <w:rsid w:val="00CB3E4E"/>
    <w:rsid w:val="00CB4071"/>
    <w:rsid w:val="00CB50CF"/>
    <w:rsid w:val="00CB604F"/>
    <w:rsid w:val="00CB6248"/>
    <w:rsid w:val="00CB63B2"/>
    <w:rsid w:val="00CB6871"/>
    <w:rsid w:val="00CB7623"/>
    <w:rsid w:val="00CB7D51"/>
    <w:rsid w:val="00CC1288"/>
    <w:rsid w:val="00CC1A0A"/>
    <w:rsid w:val="00CC4933"/>
    <w:rsid w:val="00CC4A8A"/>
    <w:rsid w:val="00CC4CEA"/>
    <w:rsid w:val="00CC61BF"/>
    <w:rsid w:val="00CC7826"/>
    <w:rsid w:val="00CC7CB4"/>
    <w:rsid w:val="00CD377D"/>
    <w:rsid w:val="00CD6EA0"/>
    <w:rsid w:val="00CD75FE"/>
    <w:rsid w:val="00CE7BAA"/>
    <w:rsid w:val="00CF083E"/>
    <w:rsid w:val="00CF1D86"/>
    <w:rsid w:val="00CF2C29"/>
    <w:rsid w:val="00CF300C"/>
    <w:rsid w:val="00CF5053"/>
    <w:rsid w:val="00CF55E3"/>
    <w:rsid w:val="00D01346"/>
    <w:rsid w:val="00D020A2"/>
    <w:rsid w:val="00D03465"/>
    <w:rsid w:val="00D044C0"/>
    <w:rsid w:val="00D0538E"/>
    <w:rsid w:val="00D053EF"/>
    <w:rsid w:val="00D0594B"/>
    <w:rsid w:val="00D123A4"/>
    <w:rsid w:val="00D12956"/>
    <w:rsid w:val="00D13F41"/>
    <w:rsid w:val="00D14732"/>
    <w:rsid w:val="00D15550"/>
    <w:rsid w:val="00D157B6"/>
    <w:rsid w:val="00D15B52"/>
    <w:rsid w:val="00D16DFE"/>
    <w:rsid w:val="00D17316"/>
    <w:rsid w:val="00D1736A"/>
    <w:rsid w:val="00D17858"/>
    <w:rsid w:val="00D20318"/>
    <w:rsid w:val="00D20753"/>
    <w:rsid w:val="00D20FE2"/>
    <w:rsid w:val="00D215C7"/>
    <w:rsid w:val="00D21958"/>
    <w:rsid w:val="00D21E92"/>
    <w:rsid w:val="00D237CE"/>
    <w:rsid w:val="00D23931"/>
    <w:rsid w:val="00D243D2"/>
    <w:rsid w:val="00D245E1"/>
    <w:rsid w:val="00D25636"/>
    <w:rsid w:val="00D2651D"/>
    <w:rsid w:val="00D27687"/>
    <w:rsid w:val="00D303AC"/>
    <w:rsid w:val="00D30F71"/>
    <w:rsid w:val="00D31007"/>
    <w:rsid w:val="00D3154F"/>
    <w:rsid w:val="00D32469"/>
    <w:rsid w:val="00D333C8"/>
    <w:rsid w:val="00D34281"/>
    <w:rsid w:val="00D3502D"/>
    <w:rsid w:val="00D36CAE"/>
    <w:rsid w:val="00D40947"/>
    <w:rsid w:val="00D41739"/>
    <w:rsid w:val="00D42506"/>
    <w:rsid w:val="00D42B3A"/>
    <w:rsid w:val="00D461AE"/>
    <w:rsid w:val="00D478DC"/>
    <w:rsid w:val="00D47B37"/>
    <w:rsid w:val="00D50143"/>
    <w:rsid w:val="00D51BB0"/>
    <w:rsid w:val="00D568A8"/>
    <w:rsid w:val="00D57CC6"/>
    <w:rsid w:val="00D6049A"/>
    <w:rsid w:val="00D6506D"/>
    <w:rsid w:val="00D6720C"/>
    <w:rsid w:val="00D70B6D"/>
    <w:rsid w:val="00D71A60"/>
    <w:rsid w:val="00D71E1F"/>
    <w:rsid w:val="00D73B92"/>
    <w:rsid w:val="00D73FDF"/>
    <w:rsid w:val="00D7452B"/>
    <w:rsid w:val="00D74EDC"/>
    <w:rsid w:val="00D7550E"/>
    <w:rsid w:val="00D755F1"/>
    <w:rsid w:val="00D761CE"/>
    <w:rsid w:val="00D77783"/>
    <w:rsid w:val="00D8138D"/>
    <w:rsid w:val="00D82FCC"/>
    <w:rsid w:val="00D85FCB"/>
    <w:rsid w:val="00D91052"/>
    <w:rsid w:val="00D915BE"/>
    <w:rsid w:val="00D91D0B"/>
    <w:rsid w:val="00D92683"/>
    <w:rsid w:val="00D9288C"/>
    <w:rsid w:val="00D94820"/>
    <w:rsid w:val="00D96BF8"/>
    <w:rsid w:val="00D97E03"/>
    <w:rsid w:val="00DA05BF"/>
    <w:rsid w:val="00DA16AB"/>
    <w:rsid w:val="00DA17FB"/>
    <w:rsid w:val="00DA2174"/>
    <w:rsid w:val="00DA386F"/>
    <w:rsid w:val="00DA433E"/>
    <w:rsid w:val="00DA512B"/>
    <w:rsid w:val="00DA53AB"/>
    <w:rsid w:val="00DA5FEB"/>
    <w:rsid w:val="00DA65B9"/>
    <w:rsid w:val="00DA66D8"/>
    <w:rsid w:val="00DA7447"/>
    <w:rsid w:val="00DA756F"/>
    <w:rsid w:val="00DA75BF"/>
    <w:rsid w:val="00DB1E70"/>
    <w:rsid w:val="00DB2469"/>
    <w:rsid w:val="00DB248F"/>
    <w:rsid w:val="00DB49E5"/>
    <w:rsid w:val="00DB7089"/>
    <w:rsid w:val="00DB7EA7"/>
    <w:rsid w:val="00DC1211"/>
    <w:rsid w:val="00DC1E47"/>
    <w:rsid w:val="00DC1EB3"/>
    <w:rsid w:val="00DC275C"/>
    <w:rsid w:val="00DC313D"/>
    <w:rsid w:val="00DC36BB"/>
    <w:rsid w:val="00DC411E"/>
    <w:rsid w:val="00DC6A00"/>
    <w:rsid w:val="00DC6CCE"/>
    <w:rsid w:val="00DD0ABD"/>
    <w:rsid w:val="00DD2C0D"/>
    <w:rsid w:val="00DD2E5C"/>
    <w:rsid w:val="00DD37B1"/>
    <w:rsid w:val="00DD37BF"/>
    <w:rsid w:val="00DE04A5"/>
    <w:rsid w:val="00DE273B"/>
    <w:rsid w:val="00DE4091"/>
    <w:rsid w:val="00DE43D2"/>
    <w:rsid w:val="00DE586F"/>
    <w:rsid w:val="00DE5FE3"/>
    <w:rsid w:val="00DE6BAE"/>
    <w:rsid w:val="00DF1FC5"/>
    <w:rsid w:val="00DF3F3F"/>
    <w:rsid w:val="00DF479A"/>
    <w:rsid w:val="00DF534A"/>
    <w:rsid w:val="00DF5A02"/>
    <w:rsid w:val="00DF5FEA"/>
    <w:rsid w:val="00DF6B23"/>
    <w:rsid w:val="00DF7353"/>
    <w:rsid w:val="00DF7AC2"/>
    <w:rsid w:val="00E01739"/>
    <w:rsid w:val="00E01BE4"/>
    <w:rsid w:val="00E022A1"/>
    <w:rsid w:val="00E022DB"/>
    <w:rsid w:val="00E02BE1"/>
    <w:rsid w:val="00E03E05"/>
    <w:rsid w:val="00E04537"/>
    <w:rsid w:val="00E07C68"/>
    <w:rsid w:val="00E12718"/>
    <w:rsid w:val="00E143F8"/>
    <w:rsid w:val="00E1561D"/>
    <w:rsid w:val="00E167A9"/>
    <w:rsid w:val="00E2297D"/>
    <w:rsid w:val="00E231E4"/>
    <w:rsid w:val="00E23EB5"/>
    <w:rsid w:val="00E240F8"/>
    <w:rsid w:val="00E24583"/>
    <w:rsid w:val="00E252D9"/>
    <w:rsid w:val="00E269B1"/>
    <w:rsid w:val="00E26DB9"/>
    <w:rsid w:val="00E2738A"/>
    <w:rsid w:val="00E31251"/>
    <w:rsid w:val="00E31287"/>
    <w:rsid w:val="00E31492"/>
    <w:rsid w:val="00E32AB8"/>
    <w:rsid w:val="00E3521B"/>
    <w:rsid w:val="00E36304"/>
    <w:rsid w:val="00E3766A"/>
    <w:rsid w:val="00E378D9"/>
    <w:rsid w:val="00E41FCF"/>
    <w:rsid w:val="00E42304"/>
    <w:rsid w:val="00E428A0"/>
    <w:rsid w:val="00E43358"/>
    <w:rsid w:val="00E44105"/>
    <w:rsid w:val="00E448F4"/>
    <w:rsid w:val="00E45CCC"/>
    <w:rsid w:val="00E45D33"/>
    <w:rsid w:val="00E46531"/>
    <w:rsid w:val="00E509C2"/>
    <w:rsid w:val="00E5190D"/>
    <w:rsid w:val="00E525FB"/>
    <w:rsid w:val="00E52F4F"/>
    <w:rsid w:val="00E53A45"/>
    <w:rsid w:val="00E540F0"/>
    <w:rsid w:val="00E54AC6"/>
    <w:rsid w:val="00E60DF5"/>
    <w:rsid w:val="00E6249A"/>
    <w:rsid w:val="00E63ADA"/>
    <w:rsid w:val="00E63BE5"/>
    <w:rsid w:val="00E64B8D"/>
    <w:rsid w:val="00E66292"/>
    <w:rsid w:val="00E66A95"/>
    <w:rsid w:val="00E67BF2"/>
    <w:rsid w:val="00E67E32"/>
    <w:rsid w:val="00E7056C"/>
    <w:rsid w:val="00E70F66"/>
    <w:rsid w:val="00E72D2F"/>
    <w:rsid w:val="00E746D2"/>
    <w:rsid w:val="00E750B4"/>
    <w:rsid w:val="00E755B5"/>
    <w:rsid w:val="00E7645D"/>
    <w:rsid w:val="00E7654B"/>
    <w:rsid w:val="00E76C87"/>
    <w:rsid w:val="00E77075"/>
    <w:rsid w:val="00E77B97"/>
    <w:rsid w:val="00E80976"/>
    <w:rsid w:val="00E81325"/>
    <w:rsid w:val="00E81504"/>
    <w:rsid w:val="00E821C3"/>
    <w:rsid w:val="00E82B91"/>
    <w:rsid w:val="00E8506C"/>
    <w:rsid w:val="00E8628F"/>
    <w:rsid w:val="00E86367"/>
    <w:rsid w:val="00E864F6"/>
    <w:rsid w:val="00E86708"/>
    <w:rsid w:val="00E90BFE"/>
    <w:rsid w:val="00E93604"/>
    <w:rsid w:val="00E95D77"/>
    <w:rsid w:val="00EA148E"/>
    <w:rsid w:val="00EA1E93"/>
    <w:rsid w:val="00EA28D7"/>
    <w:rsid w:val="00EA52B0"/>
    <w:rsid w:val="00EB0B90"/>
    <w:rsid w:val="00EB0DEC"/>
    <w:rsid w:val="00EB0F84"/>
    <w:rsid w:val="00EB1285"/>
    <w:rsid w:val="00EB2186"/>
    <w:rsid w:val="00EB2A04"/>
    <w:rsid w:val="00EB3354"/>
    <w:rsid w:val="00EB3371"/>
    <w:rsid w:val="00EB47BC"/>
    <w:rsid w:val="00EB4D99"/>
    <w:rsid w:val="00EB5645"/>
    <w:rsid w:val="00EB6E81"/>
    <w:rsid w:val="00EB747F"/>
    <w:rsid w:val="00EB7DC6"/>
    <w:rsid w:val="00EB7E50"/>
    <w:rsid w:val="00EC111F"/>
    <w:rsid w:val="00EC1C7C"/>
    <w:rsid w:val="00EC3063"/>
    <w:rsid w:val="00EC32E6"/>
    <w:rsid w:val="00EC3C2E"/>
    <w:rsid w:val="00EC4F29"/>
    <w:rsid w:val="00EC576D"/>
    <w:rsid w:val="00EC5E55"/>
    <w:rsid w:val="00ED045F"/>
    <w:rsid w:val="00ED06F3"/>
    <w:rsid w:val="00ED0712"/>
    <w:rsid w:val="00ED086A"/>
    <w:rsid w:val="00ED28C2"/>
    <w:rsid w:val="00ED2E6C"/>
    <w:rsid w:val="00ED4DF7"/>
    <w:rsid w:val="00ED63FC"/>
    <w:rsid w:val="00ED7CD1"/>
    <w:rsid w:val="00EE09C4"/>
    <w:rsid w:val="00EE2989"/>
    <w:rsid w:val="00EE3393"/>
    <w:rsid w:val="00EE6E62"/>
    <w:rsid w:val="00EE7D06"/>
    <w:rsid w:val="00EF2BDB"/>
    <w:rsid w:val="00EF377C"/>
    <w:rsid w:val="00EF38A5"/>
    <w:rsid w:val="00EF3DDD"/>
    <w:rsid w:val="00EF6211"/>
    <w:rsid w:val="00EF66C0"/>
    <w:rsid w:val="00F00D73"/>
    <w:rsid w:val="00F0183C"/>
    <w:rsid w:val="00F01A69"/>
    <w:rsid w:val="00F01BD4"/>
    <w:rsid w:val="00F023A2"/>
    <w:rsid w:val="00F0366A"/>
    <w:rsid w:val="00F04388"/>
    <w:rsid w:val="00F0448C"/>
    <w:rsid w:val="00F056ED"/>
    <w:rsid w:val="00F05ED1"/>
    <w:rsid w:val="00F0658F"/>
    <w:rsid w:val="00F065DE"/>
    <w:rsid w:val="00F06AD4"/>
    <w:rsid w:val="00F06E69"/>
    <w:rsid w:val="00F07460"/>
    <w:rsid w:val="00F102A5"/>
    <w:rsid w:val="00F1122E"/>
    <w:rsid w:val="00F120A0"/>
    <w:rsid w:val="00F12951"/>
    <w:rsid w:val="00F13227"/>
    <w:rsid w:val="00F1563C"/>
    <w:rsid w:val="00F16130"/>
    <w:rsid w:val="00F16276"/>
    <w:rsid w:val="00F223EE"/>
    <w:rsid w:val="00F22B0A"/>
    <w:rsid w:val="00F23AA7"/>
    <w:rsid w:val="00F2410B"/>
    <w:rsid w:val="00F24966"/>
    <w:rsid w:val="00F24AF6"/>
    <w:rsid w:val="00F257BA"/>
    <w:rsid w:val="00F26772"/>
    <w:rsid w:val="00F314C2"/>
    <w:rsid w:val="00F32589"/>
    <w:rsid w:val="00F32ABE"/>
    <w:rsid w:val="00F354EF"/>
    <w:rsid w:val="00F41CE8"/>
    <w:rsid w:val="00F42C10"/>
    <w:rsid w:val="00F432A0"/>
    <w:rsid w:val="00F43AA6"/>
    <w:rsid w:val="00F446BE"/>
    <w:rsid w:val="00F4495D"/>
    <w:rsid w:val="00F44DC3"/>
    <w:rsid w:val="00F46AFD"/>
    <w:rsid w:val="00F5051A"/>
    <w:rsid w:val="00F50D00"/>
    <w:rsid w:val="00F51BBA"/>
    <w:rsid w:val="00F52744"/>
    <w:rsid w:val="00F5374F"/>
    <w:rsid w:val="00F54DA1"/>
    <w:rsid w:val="00F5622B"/>
    <w:rsid w:val="00F56625"/>
    <w:rsid w:val="00F5725A"/>
    <w:rsid w:val="00F61E63"/>
    <w:rsid w:val="00F61F5D"/>
    <w:rsid w:val="00F64315"/>
    <w:rsid w:val="00F651CA"/>
    <w:rsid w:val="00F65235"/>
    <w:rsid w:val="00F70B05"/>
    <w:rsid w:val="00F7138E"/>
    <w:rsid w:val="00F7150C"/>
    <w:rsid w:val="00F71C39"/>
    <w:rsid w:val="00F7265D"/>
    <w:rsid w:val="00F73BFB"/>
    <w:rsid w:val="00F7418D"/>
    <w:rsid w:val="00F74250"/>
    <w:rsid w:val="00F80598"/>
    <w:rsid w:val="00F80A14"/>
    <w:rsid w:val="00F80D36"/>
    <w:rsid w:val="00F82012"/>
    <w:rsid w:val="00F82F72"/>
    <w:rsid w:val="00F83619"/>
    <w:rsid w:val="00F83A55"/>
    <w:rsid w:val="00F860BB"/>
    <w:rsid w:val="00F86DED"/>
    <w:rsid w:val="00F87C02"/>
    <w:rsid w:val="00F90AE8"/>
    <w:rsid w:val="00F90D79"/>
    <w:rsid w:val="00F90FFE"/>
    <w:rsid w:val="00F9496D"/>
    <w:rsid w:val="00F95623"/>
    <w:rsid w:val="00F97330"/>
    <w:rsid w:val="00F97E31"/>
    <w:rsid w:val="00FA03B4"/>
    <w:rsid w:val="00FA0848"/>
    <w:rsid w:val="00FA2B8C"/>
    <w:rsid w:val="00FA3EDD"/>
    <w:rsid w:val="00FA4DF4"/>
    <w:rsid w:val="00FA55FF"/>
    <w:rsid w:val="00FA64F1"/>
    <w:rsid w:val="00FA6FFA"/>
    <w:rsid w:val="00FA775E"/>
    <w:rsid w:val="00FB1450"/>
    <w:rsid w:val="00FB14E7"/>
    <w:rsid w:val="00FB2E4D"/>
    <w:rsid w:val="00FB3D51"/>
    <w:rsid w:val="00FB5D1C"/>
    <w:rsid w:val="00FB7050"/>
    <w:rsid w:val="00FB7A65"/>
    <w:rsid w:val="00FB7C24"/>
    <w:rsid w:val="00FC01F2"/>
    <w:rsid w:val="00FC1DD7"/>
    <w:rsid w:val="00FC3177"/>
    <w:rsid w:val="00FC630C"/>
    <w:rsid w:val="00FD155C"/>
    <w:rsid w:val="00FD1969"/>
    <w:rsid w:val="00FD3E09"/>
    <w:rsid w:val="00FD5737"/>
    <w:rsid w:val="00FD5EAE"/>
    <w:rsid w:val="00FE0492"/>
    <w:rsid w:val="00FE0A62"/>
    <w:rsid w:val="00FE2695"/>
    <w:rsid w:val="00FE49FA"/>
    <w:rsid w:val="00FE7F3A"/>
    <w:rsid w:val="00FF10AA"/>
    <w:rsid w:val="00FF1EC6"/>
    <w:rsid w:val="00FF2557"/>
    <w:rsid w:val="00FF3171"/>
    <w:rsid w:val="00FF3865"/>
    <w:rsid w:val="00FF5116"/>
    <w:rsid w:val="00FF67EC"/>
    <w:rsid w:val="00FF6952"/>
    <w:rsid w:val="00FF6C91"/>
    <w:rsid w:val="1E911058"/>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unhideWhenUsed/>
    <w:qFormat/>
    <w:uiPriority w:val="99"/>
    <w:rPr>
      <w:color w:val="0000FF"/>
      <w:u w:val="single"/>
    </w:rPr>
  </w:style>
  <w:style w:type="character" w:customStyle="1" w:styleId="8">
    <w:name w:val="标题 1 Char"/>
    <w:basedOn w:val="4"/>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808</Words>
  <Characters>4612</Characters>
  <Lines>38</Lines>
  <Paragraphs>10</Paragraphs>
  <TotalTime>0</TotalTime>
  <ScaleCrop>false</ScaleCrop>
  <LinksUpToDate>false</LinksUpToDate>
  <CharactersWithSpaces>5410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2016-07-14T08:34:00Z</dcterms:created>
  <dc:creator>Sky123.Org</dc:creator>
  <cp:lastModifiedBy>Administrator</cp:lastModifiedBy>
  <dcterms:modified xsi:type="dcterms:W3CDTF">2016-07-15T05:44:48Z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